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92" w:rsidRDefault="00734992" w:rsidP="00DA1796">
      <w:pPr>
        <w:pStyle w:val="Subtitle"/>
        <w:rPr>
          <w:rFonts w:ascii="Garamond" w:hAnsi="Garamond"/>
          <w:sz w:val="28"/>
          <w:szCs w:val="28"/>
          <w:u w:val="single"/>
        </w:rPr>
      </w:pPr>
      <w:r w:rsidRPr="00C024A1">
        <w:rPr>
          <w:rFonts w:ascii="Garamond" w:hAnsi="Garamond"/>
          <w:sz w:val="28"/>
          <w:szCs w:val="28"/>
          <w:u w:val="single"/>
        </w:rPr>
        <w:t>UNITA’ DI PROGETTO</w:t>
      </w:r>
    </w:p>
    <w:p w:rsidR="00734992" w:rsidRPr="00C024A1" w:rsidRDefault="00734992" w:rsidP="00DA1796">
      <w:pPr>
        <w:pStyle w:val="Subtitle"/>
        <w:rPr>
          <w:rFonts w:ascii="Garamond" w:hAnsi="Garamond"/>
          <w:sz w:val="28"/>
          <w:szCs w:val="28"/>
          <w:u w:val="single"/>
        </w:rPr>
      </w:pPr>
    </w:p>
    <w:tbl>
      <w:tblPr>
        <w:tblW w:w="14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812"/>
      </w:tblGrid>
      <w:tr w:rsidR="00734992" w:rsidRPr="00C024A1" w:rsidTr="0087575B">
        <w:trPr>
          <w:cantSplit/>
          <w:trHeight w:val="231"/>
          <w:jc w:val="center"/>
        </w:trPr>
        <w:tc>
          <w:tcPr>
            <w:tcW w:w="3614" w:type="dxa"/>
            <w:shd w:val="clear" w:color="auto" w:fill="C0C0C0"/>
          </w:tcPr>
          <w:p w:rsidR="00734992" w:rsidRPr="00C024A1" w:rsidRDefault="00734992" w:rsidP="0087575B">
            <w:pPr>
              <w:jc w:val="center"/>
              <w:rPr>
                <w:rFonts w:ascii="Garamond" w:hAnsi="Garamond"/>
                <w:b/>
              </w:rPr>
            </w:pPr>
            <w:r w:rsidRPr="00C024A1">
              <w:rPr>
                <w:rFonts w:ascii="Garamond" w:hAnsi="Garamond"/>
                <w:b/>
              </w:rPr>
              <w:t xml:space="preserve">TUTELA DEL TERRITORIO </w:t>
            </w:r>
          </w:p>
          <w:p w:rsidR="00734992" w:rsidRPr="00C024A1" w:rsidRDefault="00734992" w:rsidP="0087575B">
            <w:pPr>
              <w:jc w:val="center"/>
              <w:rPr>
                <w:rFonts w:ascii="Garamond" w:hAnsi="Garamond"/>
                <w:b/>
              </w:rPr>
            </w:pPr>
            <w:r w:rsidRPr="00C024A1">
              <w:rPr>
                <w:rFonts w:ascii="Garamond" w:hAnsi="Garamond"/>
                <w:b/>
              </w:rPr>
              <w:t xml:space="preserve">E VIABILITÀ </w:t>
            </w:r>
          </w:p>
        </w:tc>
        <w:tc>
          <w:tcPr>
            <w:tcW w:w="10812" w:type="dxa"/>
            <w:shd w:val="clear" w:color="auto" w:fill="C0C0C0"/>
          </w:tcPr>
          <w:p w:rsidR="00734992" w:rsidRPr="00C024A1" w:rsidRDefault="00734992" w:rsidP="0087575B">
            <w:pPr>
              <w:jc w:val="center"/>
              <w:rPr>
                <w:rFonts w:ascii="Garamond" w:hAnsi="Garamond"/>
                <w:b/>
                <w:bCs/>
              </w:rPr>
            </w:pPr>
            <w:r w:rsidRPr="00C024A1">
              <w:rPr>
                <w:rFonts w:ascii="Garamond" w:hAnsi="Garamond"/>
                <w:b/>
                <w:bCs/>
              </w:rPr>
              <w:t>Attività</w:t>
            </w:r>
          </w:p>
        </w:tc>
      </w:tr>
      <w:tr w:rsidR="00734992" w:rsidRPr="00C024A1" w:rsidTr="0087575B">
        <w:trPr>
          <w:cantSplit/>
          <w:trHeight w:val="231"/>
          <w:jc w:val="center"/>
        </w:trPr>
        <w:tc>
          <w:tcPr>
            <w:tcW w:w="3614" w:type="dxa"/>
          </w:tcPr>
          <w:p w:rsidR="00734992" w:rsidRPr="00C024A1" w:rsidRDefault="00734992" w:rsidP="0087575B">
            <w:pPr>
              <w:jc w:val="center"/>
              <w:rPr>
                <w:rFonts w:ascii="Garamond" w:hAnsi="Garamond"/>
                <w:i/>
                <w:szCs w:val="22"/>
              </w:rPr>
            </w:pPr>
          </w:p>
          <w:p w:rsidR="00734992" w:rsidRPr="00C024A1" w:rsidRDefault="00734992" w:rsidP="0087575B">
            <w:pPr>
              <w:jc w:val="center"/>
              <w:rPr>
                <w:rFonts w:ascii="Garamond" w:hAnsi="Garamond"/>
                <w:i/>
                <w:szCs w:val="22"/>
              </w:rPr>
            </w:pPr>
          </w:p>
          <w:p w:rsidR="00734992" w:rsidRPr="00C024A1" w:rsidRDefault="00734992" w:rsidP="0087575B">
            <w:pPr>
              <w:jc w:val="center"/>
              <w:rPr>
                <w:rFonts w:ascii="Garamond" w:hAnsi="Garamond"/>
                <w:b/>
                <w:szCs w:val="24"/>
              </w:rPr>
            </w:pPr>
            <w:r w:rsidRPr="00C024A1">
              <w:rPr>
                <w:rFonts w:ascii="Garamond" w:hAnsi="Garamond"/>
                <w:i/>
                <w:szCs w:val="24"/>
              </w:rPr>
              <w:t>Servizi Manutenzioni Stradali</w:t>
            </w:r>
          </w:p>
        </w:tc>
        <w:tc>
          <w:tcPr>
            <w:tcW w:w="10812" w:type="dxa"/>
          </w:tcPr>
          <w:p w:rsidR="00734992" w:rsidRPr="00C024A1" w:rsidRDefault="00734992" w:rsidP="0087575B">
            <w:pPr>
              <w:rPr>
                <w:rFonts w:ascii="Garamond" w:hAnsi="Garamond"/>
              </w:rPr>
            </w:pPr>
            <w:r w:rsidRPr="00C024A1">
              <w:rPr>
                <w:rFonts w:ascii="Garamond" w:hAnsi="Garamond"/>
                <w:sz w:val="22"/>
                <w:szCs w:val="22"/>
              </w:rPr>
              <w:t xml:space="preserve">Interventi di manutenzione ordinaria e straordinaria e nuove opere di sviluppo della rete stradale di competenza provinciale. Gestione delle strade ricomprese nei gruppi provinciali ed alcune tratte di strade ex statali ora regionali ricadenti nel territorio di competenza. Procedimenti comprendenti l’affidamento di lavorazioni specifiche e le attività di servizi di progettazione, architettura e ingegneria regolati da particolari leggi (D.Lgs. 163/2006 e ss. mm. e ii.) direttamente connessi agli interventi di competenza del servizio. Servizio reperibilità. </w:t>
            </w:r>
            <w:r>
              <w:rPr>
                <w:rFonts w:ascii="Garamond" w:hAnsi="Garamond"/>
                <w:sz w:val="22"/>
                <w:szCs w:val="22"/>
              </w:rPr>
              <w:t xml:space="preserve">Programmazione opere pubbliche e Osservatorio. Progettazione, direzione lavori ed attività in ausilio ai servizi riferiti a leggi speciali. </w:t>
            </w:r>
          </w:p>
        </w:tc>
      </w:tr>
      <w:tr w:rsidR="00734992" w:rsidRPr="00C024A1" w:rsidTr="0087575B">
        <w:trPr>
          <w:cantSplit/>
          <w:trHeight w:val="231"/>
          <w:jc w:val="center"/>
        </w:trPr>
        <w:tc>
          <w:tcPr>
            <w:tcW w:w="3614" w:type="dxa"/>
          </w:tcPr>
          <w:p w:rsidR="00734992" w:rsidRDefault="00734992" w:rsidP="0087575B">
            <w:pPr>
              <w:jc w:val="center"/>
              <w:rPr>
                <w:rFonts w:ascii="Garamond" w:hAnsi="Garamond"/>
                <w:i/>
                <w:szCs w:val="24"/>
              </w:rPr>
            </w:pPr>
          </w:p>
          <w:p w:rsidR="00734992" w:rsidRDefault="00734992" w:rsidP="0087575B">
            <w:pPr>
              <w:jc w:val="center"/>
              <w:rPr>
                <w:rFonts w:ascii="Garamond" w:hAnsi="Garamond"/>
                <w:i/>
                <w:szCs w:val="24"/>
              </w:rPr>
            </w:pPr>
            <w:r>
              <w:rPr>
                <w:rFonts w:ascii="Garamond" w:hAnsi="Garamond"/>
                <w:i/>
                <w:szCs w:val="24"/>
              </w:rPr>
              <w:t>Gare e appalti</w:t>
            </w:r>
          </w:p>
        </w:tc>
        <w:tc>
          <w:tcPr>
            <w:tcW w:w="10812" w:type="dxa"/>
          </w:tcPr>
          <w:p w:rsidR="00734992" w:rsidRDefault="00734992" w:rsidP="0087575B">
            <w:pPr>
              <w:rPr>
                <w:rFonts w:ascii="Garamond" w:hAnsi="Garamond"/>
                <w:szCs w:val="22"/>
              </w:rPr>
            </w:pPr>
            <w:r>
              <w:rPr>
                <w:rFonts w:ascii="Garamond" w:hAnsi="Garamond"/>
                <w:sz w:val="22"/>
                <w:szCs w:val="22"/>
              </w:rPr>
              <w:t xml:space="preserve">Gestione di gare e appalti. </w:t>
            </w:r>
          </w:p>
          <w:p w:rsidR="00734992" w:rsidRDefault="00734992" w:rsidP="0087575B">
            <w:pPr>
              <w:rPr>
                <w:rFonts w:ascii="Garamond" w:hAnsi="Garamond"/>
                <w:szCs w:val="22"/>
              </w:rPr>
            </w:pPr>
            <w:r>
              <w:rPr>
                <w:rFonts w:ascii="Garamond" w:hAnsi="Garamond"/>
                <w:sz w:val="22"/>
                <w:szCs w:val="22"/>
              </w:rPr>
              <w:t xml:space="preserve">Stazione Unica Appaltante. </w:t>
            </w:r>
          </w:p>
          <w:p w:rsidR="00734992" w:rsidRDefault="00734992" w:rsidP="0087575B">
            <w:pPr>
              <w:rPr>
                <w:rFonts w:ascii="Garamond" w:hAnsi="Garamond"/>
                <w:szCs w:val="22"/>
              </w:rPr>
            </w:pPr>
            <w:r>
              <w:rPr>
                <w:rFonts w:ascii="Garamond" w:hAnsi="Garamond"/>
                <w:sz w:val="22"/>
                <w:szCs w:val="22"/>
              </w:rPr>
              <w:t>Stazione Unica Appaltante ATEM FR2.</w:t>
            </w:r>
          </w:p>
        </w:tc>
      </w:tr>
      <w:tr w:rsidR="00734992" w:rsidRPr="00C024A1" w:rsidTr="0087575B">
        <w:trPr>
          <w:cantSplit/>
          <w:trHeight w:val="231"/>
          <w:jc w:val="center"/>
        </w:trPr>
        <w:tc>
          <w:tcPr>
            <w:tcW w:w="3614" w:type="dxa"/>
          </w:tcPr>
          <w:p w:rsidR="00734992" w:rsidRDefault="00734992" w:rsidP="0087575B">
            <w:pPr>
              <w:jc w:val="center"/>
              <w:rPr>
                <w:rFonts w:ascii="Garamond" w:hAnsi="Garamond"/>
                <w:i/>
                <w:szCs w:val="24"/>
              </w:rPr>
            </w:pPr>
          </w:p>
          <w:p w:rsidR="00734992" w:rsidRPr="00C309CA" w:rsidRDefault="00734992" w:rsidP="0087575B">
            <w:pPr>
              <w:jc w:val="center"/>
              <w:rPr>
                <w:rFonts w:ascii="Garamond" w:hAnsi="Garamond"/>
                <w:i/>
                <w:szCs w:val="24"/>
              </w:rPr>
            </w:pPr>
            <w:r>
              <w:rPr>
                <w:rFonts w:ascii="Garamond" w:hAnsi="Garamond"/>
                <w:i/>
                <w:szCs w:val="24"/>
              </w:rPr>
              <w:t>Opere Idrauliche – Demanio Idrico</w:t>
            </w:r>
            <w:r w:rsidRPr="00595434">
              <w:rPr>
                <w:rFonts w:ascii="Garamond" w:hAnsi="Garamond"/>
                <w:i/>
                <w:szCs w:val="24"/>
              </w:rPr>
              <w:t xml:space="preserve"> Derivazioni e utilizzazioni acque pubbliche</w:t>
            </w:r>
          </w:p>
        </w:tc>
        <w:tc>
          <w:tcPr>
            <w:tcW w:w="10812" w:type="dxa"/>
          </w:tcPr>
          <w:p w:rsidR="00734992" w:rsidRDefault="00734992" w:rsidP="0087575B">
            <w:pPr>
              <w:rPr>
                <w:rFonts w:ascii="Garamond" w:hAnsi="Garamond"/>
                <w:szCs w:val="22"/>
              </w:rPr>
            </w:pPr>
            <w:r w:rsidRPr="00C309CA">
              <w:rPr>
                <w:rFonts w:ascii="Garamond" w:hAnsi="Garamond"/>
                <w:sz w:val="22"/>
                <w:szCs w:val="22"/>
              </w:rPr>
              <w:t>R.D. n. 523 del 25.7.1904</w:t>
            </w:r>
            <w:r>
              <w:rPr>
                <w:rFonts w:ascii="Garamond" w:hAnsi="Garamond"/>
                <w:sz w:val="22"/>
                <w:szCs w:val="22"/>
              </w:rPr>
              <w:t xml:space="preserve">  </w:t>
            </w:r>
            <w:r w:rsidRPr="00C309CA">
              <w:rPr>
                <w:rFonts w:ascii="Garamond" w:hAnsi="Garamond"/>
                <w:sz w:val="22"/>
                <w:szCs w:val="22"/>
              </w:rPr>
              <w:t>“Testo unico delle disposizioni di legge intorno alle opere idrauliche delle diverse categorie”</w:t>
            </w:r>
            <w:r>
              <w:rPr>
                <w:rFonts w:ascii="Garamond" w:hAnsi="Garamond"/>
                <w:sz w:val="22"/>
                <w:szCs w:val="22"/>
              </w:rPr>
              <w:t xml:space="preserve">; </w:t>
            </w:r>
            <w:r w:rsidRPr="00C309CA">
              <w:rPr>
                <w:rFonts w:ascii="Garamond" w:hAnsi="Garamond"/>
                <w:sz w:val="22"/>
                <w:szCs w:val="22"/>
              </w:rPr>
              <w:t xml:space="preserve">R.D. n. 2669 del 9.12.1937 “Regolamento sulla tutela di opere idrauliche di 1ª e 2ª categoria e delle opere di bonifica”; </w:t>
            </w:r>
            <w:r>
              <w:rPr>
                <w:rFonts w:ascii="Garamond" w:hAnsi="Garamond"/>
                <w:sz w:val="22"/>
                <w:szCs w:val="22"/>
              </w:rPr>
              <w:t>L.R. 11 dicembre 1998</w:t>
            </w:r>
            <w:r w:rsidRPr="00895A80">
              <w:rPr>
                <w:rFonts w:ascii="Garamond" w:hAnsi="Garamond"/>
                <w:sz w:val="22"/>
                <w:szCs w:val="22"/>
              </w:rPr>
              <w:t xml:space="preserve"> n. 53 </w:t>
            </w:r>
            <w:r>
              <w:rPr>
                <w:rFonts w:ascii="Garamond" w:hAnsi="Garamond"/>
                <w:sz w:val="22"/>
                <w:szCs w:val="22"/>
              </w:rPr>
              <w:t xml:space="preserve"> “</w:t>
            </w:r>
            <w:r w:rsidRPr="00895A80">
              <w:rPr>
                <w:rFonts w:ascii="Garamond" w:hAnsi="Garamond"/>
                <w:sz w:val="22"/>
                <w:szCs w:val="22"/>
              </w:rPr>
              <w:t>Organizzazione regionale della difesa del suolo in applicazione della legge 18 maggio 1989 n.183”;</w:t>
            </w:r>
            <w:r>
              <w:rPr>
                <w:rFonts w:ascii="Garamond" w:hAnsi="Garamond"/>
                <w:sz w:val="22"/>
                <w:szCs w:val="22"/>
              </w:rPr>
              <w:t xml:space="preserve"> </w:t>
            </w:r>
            <w:r w:rsidRPr="000D400A">
              <w:rPr>
                <w:sz w:val="22"/>
                <w:szCs w:val="22"/>
              </w:rPr>
              <w:t>L.R. n. 53/98</w:t>
            </w:r>
            <w:r>
              <w:rPr>
                <w:sz w:val="22"/>
                <w:szCs w:val="22"/>
              </w:rPr>
              <w:t>.</w:t>
            </w:r>
            <w:r w:rsidRPr="000D400A">
              <w:rPr>
                <w:sz w:val="22"/>
                <w:szCs w:val="22"/>
              </w:rPr>
              <w:t xml:space="preserve"> </w:t>
            </w:r>
            <w:r w:rsidRPr="00C309CA">
              <w:rPr>
                <w:rFonts w:ascii="Garamond" w:hAnsi="Garamond"/>
                <w:sz w:val="22"/>
                <w:szCs w:val="22"/>
              </w:rPr>
              <w:t>Connessa attività amministrativa</w:t>
            </w:r>
            <w:r>
              <w:rPr>
                <w:rFonts w:ascii="Garamond" w:hAnsi="Garamond"/>
                <w:sz w:val="22"/>
                <w:szCs w:val="22"/>
              </w:rPr>
              <w:t>.</w:t>
            </w:r>
          </w:p>
          <w:p w:rsidR="00734992" w:rsidRPr="00C309CA" w:rsidRDefault="00734992" w:rsidP="0087575B">
            <w:pPr>
              <w:rPr>
                <w:rFonts w:ascii="Garamond" w:hAnsi="Garamond"/>
                <w:szCs w:val="22"/>
              </w:rPr>
            </w:pPr>
            <w:r w:rsidRPr="00C309CA">
              <w:rPr>
                <w:rFonts w:ascii="Garamond" w:hAnsi="Garamond"/>
                <w:sz w:val="22"/>
                <w:szCs w:val="22"/>
              </w:rPr>
              <w:t>Valorizzazione risorse idriche.</w:t>
            </w:r>
            <w:r>
              <w:rPr>
                <w:rFonts w:ascii="Garamond" w:hAnsi="Garamond"/>
                <w:sz w:val="22"/>
                <w:szCs w:val="22"/>
              </w:rPr>
              <w:t xml:space="preserve"> R. D.</w:t>
            </w:r>
            <w:r w:rsidRPr="004C46BB">
              <w:rPr>
                <w:rFonts w:ascii="Garamond" w:hAnsi="Garamond"/>
                <w:sz w:val="22"/>
                <w:szCs w:val="22"/>
              </w:rPr>
              <w:t xml:space="preserve"> 11 dicembre 1933, n. 1775 (in Gazz. Uff., 08/01/1934, n.5). - Testo unico delle</w:t>
            </w:r>
            <w:r>
              <w:rPr>
                <w:rFonts w:ascii="Garamond" w:hAnsi="Garamond"/>
                <w:sz w:val="22"/>
                <w:szCs w:val="22"/>
              </w:rPr>
              <w:t xml:space="preserve"> </w:t>
            </w:r>
            <w:r w:rsidRPr="004C46BB">
              <w:rPr>
                <w:rFonts w:ascii="Garamond" w:hAnsi="Garamond"/>
                <w:sz w:val="22"/>
                <w:szCs w:val="22"/>
              </w:rPr>
              <w:t>disposizioni di legge sulle acque e impianti elettrici</w:t>
            </w:r>
            <w:r>
              <w:rPr>
                <w:rFonts w:ascii="Garamond" w:hAnsi="Garamond"/>
                <w:sz w:val="22"/>
                <w:szCs w:val="22"/>
              </w:rPr>
              <w:t>”</w:t>
            </w:r>
            <w:r w:rsidRPr="00C309CA">
              <w:rPr>
                <w:rFonts w:ascii="Garamond" w:hAnsi="Garamond"/>
                <w:sz w:val="22"/>
                <w:szCs w:val="22"/>
              </w:rPr>
              <w:t xml:space="preserve">; </w:t>
            </w:r>
            <w:r>
              <w:rPr>
                <w:rFonts w:ascii="Garamond" w:hAnsi="Garamond"/>
                <w:sz w:val="22"/>
                <w:szCs w:val="22"/>
              </w:rPr>
              <w:t>D</w:t>
            </w:r>
            <w:r w:rsidRPr="004C46BB">
              <w:rPr>
                <w:rFonts w:ascii="Garamond" w:hAnsi="Garamond"/>
                <w:sz w:val="22"/>
                <w:szCs w:val="22"/>
              </w:rPr>
              <w:t>erivazioni e utilizzazioni delle acque pubbliche</w:t>
            </w:r>
            <w:r>
              <w:rPr>
                <w:rFonts w:ascii="Garamond" w:hAnsi="Garamond"/>
                <w:sz w:val="22"/>
                <w:szCs w:val="22"/>
              </w:rPr>
              <w:t xml:space="preserve"> aste secondarie - </w:t>
            </w:r>
            <w:r w:rsidRPr="004C46BB">
              <w:rPr>
                <w:rFonts w:ascii="Garamond" w:hAnsi="Garamond"/>
                <w:sz w:val="22"/>
                <w:szCs w:val="22"/>
              </w:rPr>
              <w:t>concessioni e riconoscimenti di utenze</w:t>
            </w:r>
            <w:r>
              <w:rPr>
                <w:rFonts w:ascii="Garamond" w:hAnsi="Garamond"/>
                <w:sz w:val="22"/>
                <w:szCs w:val="22"/>
              </w:rPr>
              <w:t xml:space="preserve">. </w:t>
            </w:r>
            <w:r w:rsidRPr="00C309CA">
              <w:rPr>
                <w:rFonts w:ascii="Garamond" w:hAnsi="Garamond"/>
                <w:sz w:val="22"/>
                <w:szCs w:val="22"/>
              </w:rPr>
              <w:t>Connessa attività amministrativa</w:t>
            </w:r>
            <w:r>
              <w:rPr>
                <w:rFonts w:ascii="Garamond" w:hAnsi="Garamond"/>
                <w:sz w:val="22"/>
                <w:szCs w:val="22"/>
              </w:rPr>
              <w:t>.</w:t>
            </w:r>
          </w:p>
        </w:tc>
      </w:tr>
      <w:tr w:rsidR="00734992" w:rsidRPr="00C024A1" w:rsidTr="0087575B">
        <w:trPr>
          <w:cantSplit/>
          <w:trHeight w:val="231"/>
          <w:jc w:val="center"/>
        </w:trPr>
        <w:tc>
          <w:tcPr>
            <w:tcW w:w="3614" w:type="dxa"/>
          </w:tcPr>
          <w:p w:rsidR="00734992" w:rsidRDefault="00734992" w:rsidP="009019DE">
            <w:pPr>
              <w:jc w:val="center"/>
              <w:rPr>
                <w:rFonts w:ascii="Garamond" w:hAnsi="Garamond"/>
                <w:i/>
                <w:szCs w:val="24"/>
              </w:rPr>
            </w:pPr>
            <w:r>
              <w:rPr>
                <w:rFonts w:ascii="Garamond" w:hAnsi="Garamond"/>
                <w:i/>
                <w:szCs w:val="24"/>
              </w:rPr>
              <w:t>Difesa del Suolo - Sviluppo Sostenibile - Impianti termici</w:t>
            </w:r>
          </w:p>
        </w:tc>
        <w:tc>
          <w:tcPr>
            <w:tcW w:w="10812" w:type="dxa"/>
          </w:tcPr>
          <w:p w:rsidR="00734992" w:rsidRDefault="00734992" w:rsidP="0087575B">
            <w:pPr>
              <w:rPr>
                <w:rFonts w:ascii="Garamond" w:hAnsi="Garamond"/>
                <w:szCs w:val="22"/>
              </w:rPr>
            </w:pPr>
            <w:r>
              <w:rPr>
                <w:rFonts w:ascii="Garamond" w:hAnsi="Garamond"/>
                <w:sz w:val="22"/>
                <w:szCs w:val="22"/>
              </w:rPr>
              <w:t xml:space="preserve">Valorizzazione e difesa del suolo, vincolo idrogeologico, ecc. Consorzi di bonifica, Autorizzazioni per le utilizzazioni boschive. Tutela, controllo e gestione delle Aree Protette. SIC e ZPS. Attività amministrativa di competenza. </w:t>
            </w:r>
            <w:r>
              <w:rPr>
                <w:rFonts w:ascii="Garamond" w:hAnsi="Garamond" w:cs="Garamond"/>
                <w:sz w:val="22"/>
                <w:szCs w:val="22"/>
              </w:rPr>
              <w:t>Servizio di verifica degli Impianti termici di cui agli artt. 31, comma 3 della Legge n. 10/1991 e 9 comma 2 del D.Lgs 192/2005 e s.m.i.</w:t>
            </w:r>
          </w:p>
        </w:tc>
      </w:tr>
    </w:tbl>
    <w:p w:rsidR="00734992" w:rsidRDefault="00734992" w:rsidP="00DA1796">
      <w:pPr>
        <w:jc w:val="center"/>
        <w:rPr>
          <w:rFonts w:ascii="Garamond" w:hAnsi="Garamond"/>
          <w:sz w:val="22"/>
          <w:szCs w:val="22"/>
        </w:rPr>
      </w:pPr>
    </w:p>
    <w:p w:rsidR="00734992" w:rsidRPr="00C024A1" w:rsidRDefault="00734992" w:rsidP="00DA1796">
      <w:pPr>
        <w:jc w:val="center"/>
        <w:rPr>
          <w:rFonts w:ascii="Garamond" w:hAnsi="Garamond"/>
          <w:sz w:val="22"/>
          <w:szCs w:val="22"/>
        </w:rPr>
      </w:pPr>
    </w:p>
    <w:tbl>
      <w:tblPr>
        <w:tblW w:w="14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773"/>
        <w:gridCol w:w="39"/>
      </w:tblGrid>
      <w:tr w:rsidR="00734992" w:rsidRPr="00C024A1" w:rsidTr="0087575B">
        <w:trPr>
          <w:cantSplit/>
          <w:trHeight w:val="231"/>
          <w:jc w:val="center"/>
        </w:trPr>
        <w:tc>
          <w:tcPr>
            <w:tcW w:w="3614" w:type="dxa"/>
            <w:shd w:val="clear" w:color="auto" w:fill="C0C0C0"/>
          </w:tcPr>
          <w:p w:rsidR="00734992" w:rsidRPr="00C024A1" w:rsidRDefault="00734992" w:rsidP="00597C72">
            <w:pPr>
              <w:jc w:val="center"/>
              <w:rPr>
                <w:rFonts w:ascii="Garamond" w:hAnsi="Garamond"/>
                <w:b/>
              </w:rPr>
            </w:pPr>
            <w:r>
              <w:rPr>
                <w:rFonts w:ascii="Garamond" w:hAnsi="Garamond"/>
                <w:b/>
                <w:sz w:val="22"/>
                <w:szCs w:val="22"/>
              </w:rPr>
              <w:t xml:space="preserve">EDILIZIA SCOLASTICA E PIANIFICAZIONE TERRITORIALE </w:t>
            </w:r>
          </w:p>
        </w:tc>
        <w:tc>
          <w:tcPr>
            <w:tcW w:w="10812" w:type="dxa"/>
            <w:gridSpan w:val="2"/>
            <w:shd w:val="clear" w:color="auto" w:fill="C0C0C0"/>
          </w:tcPr>
          <w:p w:rsidR="00734992" w:rsidRPr="00C024A1" w:rsidRDefault="00734992" w:rsidP="0087575B">
            <w:pPr>
              <w:jc w:val="center"/>
              <w:rPr>
                <w:rFonts w:ascii="Garamond" w:hAnsi="Garamond"/>
                <w:b/>
                <w:bCs/>
              </w:rPr>
            </w:pPr>
            <w:r w:rsidRPr="00C024A1">
              <w:rPr>
                <w:rFonts w:ascii="Garamond" w:hAnsi="Garamond"/>
                <w:b/>
                <w:bCs/>
              </w:rPr>
              <w:t>Attività</w:t>
            </w:r>
          </w:p>
        </w:tc>
      </w:tr>
      <w:tr w:rsidR="00734992" w:rsidRPr="00D3355E" w:rsidTr="0087575B">
        <w:tblPrEx>
          <w:jc w:val="left"/>
        </w:tblPrEx>
        <w:trPr>
          <w:gridAfter w:val="1"/>
          <w:wAfter w:w="39" w:type="dxa"/>
          <w:cantSplit/>
          <w:trHeight w:val="532"/>
        </w:trPr>
        <w:tc>
          <w:tcPr>
            <w:tcW w:w="3614" w:type="dxa"/>
          </w:tcPr>
          <w:p w:rsidR="00734992" w:rsidRDefault="00734992" w:rsidP="0087575B">
            <w:pPr>
              <w:jc w:val="center"/>
              <w:rPr>
                <w:rFonts w:ascii="Garamond" w:hAnsi="Garamond"/>
                <w:i/>
                <w:szCs w:val="24"/>
              </w:rPr>
            </w:pPr>
          </w:p>
          <w:p w:rsidR="00734992" w:rsidRDefault="00734992" w:rsidP="0087575B">
            <w:pPr>
              <w:jc w:val="center"/>
              <w:rPr>
                <w:rFonts w:ascii="Garamond" w:hAnsi="Garamond"/>
                <w:i/>
                <w:szCs w:val="24"/>
              </w:rPr>
            </w:pPr>
          </w:p>
          <w:p w:rsidR="00734992" w:rsidRDefault="00734992" w:rsidP="0087575B">
            <w:pPr>
              <w:jc w:val="center"/>
              <w:rPr>
                <w:rFonts w:ascii="Garamond" w:hAnsi="Garamond"/>
                <w:i/>
                <w:szCs w:val="24"/>
              </w:rPr>
            </w:pPr>
            <w:r>
              <w:rPr>
                <w:rFonts w:ascii="Garamond" w:hAnsi="Garamond"/>
                <w:i/>
                <w:szCs w:val="24"/>
              </w:rPr>
              <w:t>Edilizia Scolastica</w:t>
            </w:r>
          </w:p>
        </w:tc>
        <w:tc>
          <w:tcPr>
            <w:tcW w:w="10773" w:type="dxa"/>
          </w:tcPr>
          <w:p w:rsidR="00734992" w:rsidRDefault="00734992" w:rsidP="0087575B">
            <w:pPr>
              <w:rPr>
                <w:rFonts w:ascii="Garamond" w:hAnsi="Garamond"/>
                <w:szCs w:val="22"/>
              </w:rPr>
            </w:pPr>
            <w:r w:rsidRPr="00C024A1">
              <w:rPr>
                <w:rFonts w:ascii="Garamond" w:hAnsi="Garamond"/>
                <w:sz w:val="22"/>
                <w:szCs w:val="22"/>
              </w:rPr>
              <w:t>Manutenzione ordinaria e straordinaria di tutti gli istituti scolastici di istruzione secondaria; costruzione, progettazione, direzione lavori, gestione e collaudo opere di edilizia scolastica ed adeguamento alla normativa; procedimenti comprendenti l’affidamento di lavorazioni specifiche e le attività di servizi di progettazione, architettura e ingegneria regolati da particolari leggi (D.Lgs. 163/2006 e ss. mm. e ii.) direttamente connessi agli interventi di competenza dell'area. Verifica circa la sostenibilità della manutenzione per le AFAM</w:t>
            </w:r>
            <w:r>
              <w:rPr>
                <w:rFonts w:ascii="Garamond" w:hAnsi="Garamond"/>
                <w:sz w:val="22"/>
                <w:szCs w:val="22"/>
              </w:rPr>
              <w:t>.</w:t>
            </w:r>
          </w:p>
        </w:tc>
      </w:tr>
      <w:tr w:rsidR="00734992" w:rsidRPr="00D3355E" w:rsidTr="0087575B">
        <w:tblPrEx>
          <w:jc w:val="left"/>
        </w:tblPrEx>
        <w:trPr>
          <w:gridAfter w:val="1"/>
          <w:wAfter w:w="39" w:type="dxa"/>
          <w:cantSplit/>
          <w:trHeight w:val="532"/>
        </w:trPr>
        <w:tc>
          <w:tcPr>
            <w:tcW w:w="3614" w:type="dxa"/>
          </w:tcPr>
          <w:p w:rsidR="00734992" w:rsidRPr="00C024A1" w:rsidRDefault="00734992" w:rsidP="0087575B">
            <w:pPr>
              <w:jc w:val="center"/>
              <w:rPr>
                <w:rFonts w:ascii="Garamond" w:hAnsi="Garamond"/>
                <w:i/>
                <w:szCs w:val="22"/>
              </w:rPr>
            </w:pPr>
          </w:p>
          <w:p w:rsidR="00734992" w:rsidRDefault="00734992" w:rsidP="0087575B">
            <w:pPr>
              <w:jc w:val="center"/>
              <w:rPr>
                <w:rFonts w:ascii="Garamond" w:hAnsi="Garamond"/>
                <w:i/>
                <w:szCs w:val="22"/>
              </w:rPr>
            </w:pPr>
          </w:p>
          <w:p w:rsidR="00734992" w:rsidRDefault="00734992" w:rsidP="0087575B">
            <w:pPr>
              <w:jc w:val="center"/>
              <w:rPr>
                <w:rFonts w:ascii="Garamond" w:hAnsi="Garamond"/>
                <w:i/>
                <w:szCs w:val="22"/>
              </w:rPr>
            </w:pPr>
          </w:p>
          <w:p w:rsidR="00734992" w:rsidRDefault="00734992" w:rsidP="0087575B">
            <w:pPr>
              <w:jc w:val="center"/>
              <w:rPr>
                <w:rFonts w:ascii="Garamond" w:hAnsi="Garamond"/>
                <w:i/>
                <w:szCs w:val="22"/>
              </w:rPr>
            </w:pPr>
          </w:p>
          <w:p w:rsidR="00734992" w:rsidRDefault="00734992" w:rsidP="0087575B">
            <w:pPr>
              <w:jc w:val="center"/>
              <w:rPr>
                <w:rFonts w:ascii="Garamond" w:hAnsi="Garamond"/>
                <w:i/>
                <w:szCs w:val="22"/>
              </w:rPr>
            </w:pPr>
          </w:p>
          <w:p w:rsidR="00734992" w:rsidRDefault="00734992" w:rsidP="0087575B">
            <w:pPr>
              <w:jc w:val="center"/>
              <w:rPr>
                <w:rFonts w:ascii="Garamond" w:hAnsi="Garamond"/>
                <w:i/>
                <w:szCs w:val="22"/>
              </w:rPr>
            </w:pPr>
          </w:p>
          <w:p w:rsidR="00734992" w:rsidRDefault="00734992" w:rsidP="0087575B">
            <w:pPr>
              <w:jc w:val="center"/>
              <w:rPr>
                <w:rFonts w:ascii="Garamond" w:hAnsi="Garamond"/>
                <w:i/>
                <w:szCs w:val="22"/>
              </w:rPr>
            </w:pPr>
          </w:p>
          <w:p w:rsidR="00734992" w:rsidRPr="00C024A1" w:rsidRDefault="00734992" w:rsidP="0087575B">
            <w:pPr>
              <w:jc w:val="center"/>
              <w:rPr>
                <w:rFonts w:ascii="Garamond" w:hAnsi="Garamond"/>
                <w:i/>
                <w:szCs w:val="22"/>
              </w:rPr>
            </w:pPr>
          </w:p>
          <w:p w:rsidR="00734992" w:rsidRPr="006B12EF" w:rsidRDefault="00734992" w:rsidP="0087575B">
            <w:pPr>
              <w:jc w:val="center"/>
              <w:rPr>
                <w:rFonts w:ascii="Garamond" w:hAnsi="Garamond"/>
                <w:i/>
                <w:szCs w:val="24"/>
              </w:rPr>
            </w:pPr>
          </w:p>
          <w:p w:rsidR="00734992" w:rsidRPr="00C024A1" w:rsidRDefault="00734992" w:rsidP="0087575B">
            <w:pPr>
              <w:jc w:val="center"/>
              <w:rPr>
                <w:szCs w:val="24"/>
              </w:rPr>
            </w:pPr>
            <w:r w:rsidRPr="006B12EF">
              <w:rPr>
                <w:rFonts w:ascii="Garamond" w:hAnsi="Garamond"/>
                <w:i/>
                <w:szCs w:val="24"/>
              </w:rPr>
              <w:t>A.I.A., Energia, Rifiuti, Tutela Acque</w:t>
            </w:r>
          </w:p>
        </w:tc>
        <w:tc>
          <w:tcPr>
            <w:tcW w:w="10773" w:type="dxa"/>
          </w:tcPr>
          <w:p w:rsidR="00734992" w:rsidRDefault="00734992" w:rsidP="0087575B">
            <w:pPr>
              <w:overflowPunct/>
              <w:textAlignment w:val="auto"/>
              <w:rPr>
                <w:rFonts w:ascii="Garamond" w:hAnsi="Garamond" w:cs="Garamond"/>
                <w:szCs w:val="22"/>
              </w:rPr>
            </w:pPr>
            <w:r>
              <w:rPr>
                <w:rFonts w:ascii="Garamond" w:hAnsi="Garamond" w:cs="Garamond"/>
                <w:sz w:val="22"/>
                <w:szCs w:val="22"/>
              </w:rPr>
              <w:t>Gestione delle attività connesse al rilascio, rinnovo e/o modifiche, delle Autorizzazioni Integrate Ambientali (A.I.A.) per le categorie di attività industriali previste dalla parte seconda del D.Lgs. 152/2006 e s.m.i.; Gestione delle attività connesse al rilascio, rinnovo e/o modifiche, delle autorizzazioni per la produzione e trasporto di energia elettrica; promozione del contenimento dei consumi energetici. Gestione delle attività connesse al rilascio, rinnovo e/o modifiche, delle autorizzazioni</w:t>
            </w:r>
          </w:p>
          <w:p w:rsidR="00734992" w:rsidRDefault="00734992" w:rsidP="0087575B">
            <w:pPr>
              <w:overflowPunct/>
              <w:textAlignment w:val="auto"/>
              <w:rPr>
                <w:rFonts w:ascii="Garamond" w:hAnsi="Garamond" w:cs="Garamond"/>
                <w:szCs w:val="22"/>
              </w:rPr>
            </w:pPr>
            <w:r>
              <w:rPr>
                <w:rFonts w:ascii="Garamond" w:hAnsi="Garamond" w:cs="Garamond"/>
                <w:sz w:val="22"/>
                <w:szCs w:val="22"/>
              </w:rPr>
              <w:t>riguardanti gli aspetti delle emissioni in atmosfera derivanti da attività produttive; Gestione delle attività connesse al contenimento dell’inquinamento elettromagnetico ed acustico; Attività di controllo finalizzata alla tutela della qualità dell’aria.</w:t>
            </w:r>
          </w:p>
          <w:p w:rsidR="00734992" w:rsidRDefault="00734992" w:rsidP="0087575B">
            <w:pPr>
              <w:overflowPunct/>
              <w:textAlignment w:val="auto"/>
              <w:rPr>
                <w:rFonts w:ascii="Garamond" w:hAnsi="Garamond" w:cs="Garamond"/>
                <w:szCs w:val="22"/>
              </w:rPr>
            </w:pPr>
            <w:r>
              <w:rPr>
                <w:rFonts w:ascii="Garamond" w:hAnsi="Garamond" w:cs="Garamond"/>
                <w:sz w:val="22"/>
                <w:szCs w:val="22"/>
              </w:rPr>
              <w:t>Gestione delle attività connesse al rilascio, rinnovo e/o modifiche, delle autorizzazioni per gli impianti di recupero e smaltimento dei rifiuti, pericolosi e non, ed al rilascio dell’autorizzazione all’utilizzazione dei fanghi di depurazione in agricoltura;</w:t>
            </w:r>
          </w:p>
          <w:p w:rsidR="00734992" w:rsidRDefault="00734992" w:rsidP="0087575B">
            <w:pPr>
              <w:overflowPunct/>
              <w:textAlignment w:val="auto"/>
              <w:rPr>
                <w:rFonts w:ascii="Garamond" w:hAnsi="Garamond" w:cs="Garamond"/>
                <w:szCs w:val="22"/>
              </w:rPr>
            </w:pPr>
            <w:r>
              <w:rPr>
                <w:rFonts w:ascii="Garamond" w:hAnsi="Garamond" w:cs="Garamond"/>
                <w:sz w:val="22"/>
                <w:szCs w:val="22"/>
              </w:rPr>
              <w:t>Verifica dei presupposti per l’iscrizione al Registro Provinciale degli impianti di recupero rifiuti in procedura semplificata;</w:t>
            </w:r>
          </w:p>
          <w:p w:rsidR="00734992" w:rsidRDefault="00734992" w:rsidP="0087575B">
            <w:pPr>
              <w:overflowPunct/>
              <w:textAlignment w:val="auto"/>
              <w:rPr>
                <w:rFonts w:ascii="Garamond" w:hAnsi="Garamond" w:cs="Garamond"/>
                <w:szCs w:val="22"/>
              </w:rPr>
            </w:pPr>
            <w:r>
              <w:rPr>
                <w:rFonts w:ascii="Garamond" w:hAnsi="Garamond" w:cs="Garamond"/>
                <w:sz w:val="22"/>
                <w:szCs w:val="22"/>
              </w:rPr>
              <w:t>Funzioni di programmazione, organizzazione e controllo del Ciclo Integrato dei Rifiuti e della Raccolta Differenziata dei RSU;</w:t>
            </w:r>
          </w:p>
          <w:p w:rsidR="00734992" w:rsidRDefault="00734992" w:rsidP="0087575B">
            <w:pPr>
              <w:overflowPunct/>
              <w:textAlignment w:val="auto"/>
              <w:rPr>
                <w:rFonts w:ascii="Garamond" w:hAnsi="Garamond" w:cs="Garamond"/>
                <w:szCs w:val="22"/>
              </w:rPr>
            </w:pPr>
            <w:r>
              <w:rPr>
                <w:rFonts w:ascii="Garamond" w:hAnsi="Garamond" w:cs="Garamond"/>
                <w:sz w:val="22"/>
                <w:szCs w:val="22"/>
              </w:rPr>
              <w:t>Attività di controllo degli impianti di trattamenti rifiuti.</w:t>
            </w:r>
          </w:p>
          <w:p w:rsidR="00734992" w:rsidRDefault="00734992" w:rsidP="0087575B">
            <w:pPr>
              <w:overflowPunct/>
              <w:textAlignment w:val="auto"/>
              <w:rPr>
                <w:rFonts w:ascii="Garamond" w:hAnsi="Garamond" w:cs="Garamond"/>
                <w:szCs w:val="22"/>
              </w:rPr>
            </w:pPr>
            <w:r>
              <w:rPr>
                <w:rFonts w:ascii="Garamond" w:hAnsi="Garamond" w:cs="Garamond"/>
                <w:sz w:val="22"/>
                <w:szCs w:val="22"/>
              </w:rPr>
              <w:t>Gestione delle attività connesse al rilascio, rinnovo e/o modifiche, delle autorizzazioni:</w:t>
            </w:r>
          </w:p>
          <w:p w:rsidR="00734992" w:rsidRDefault="00734992" w:rsidP="0087575B">
            <w:pPr>
              <w:overflowPunct/>
              <w:textAlignment w:val="auto"/>
              <w:rPr>
                <w:rFonts w:ascii="Garamond" w:hAnsi="Garamond" w:cs="Garamond"/>
                <w:szCs w:val="22"/>
              </w:rPr>
            </w:pPr>
            <w:r>
              <w:rPr>
                <w:rFonts w:ascii="Garamond" w:hAnsi="Garamond" w:cs="Garamond"/>
                <w:sz w:val="22"/>
                <w:szCs w:val="22"/>
              </w:rPr>
              <w:t>allo scarico in corpi idrici superficiali (ed in casi particolari su suolo), delle acque reflue (domestiche, di processo e meteoriche</w:t>
            </w:r>
          </w:p>
          <w:p w:rsidR="00734992" w:rsidRDefault="00734992" w:rsidP="0087575B">
            <w:pPr>
              <w:overflowPunct/>
              <w:textAlignment w:val="auto"/>
              <w:rPr>
                <w:rFonts w:ascii="Garamond" w:hAnsi="Garamond" w:cs="Garamond"/>
                <w:szCs w:val="22"/>
              </w:rPr>
            </w:pPr>
            <w:r>
              <w:rPr>
                <w:rFonts w:ascii="Garamond" w:hAnsi="Garamond" w:cs="Garamond"/>
                <w:sz w:val="22"/>
                <w:szCs w:val="22"/>
              </w:rPr>
              <w:t>di dilavamento), provenienti da attività produttive, da impianti di depurazione urbani ed industriali;</w:t>
            </w:r>
          </w:p>
          <w:p w:rsidR="00734992" w:rsidRDefault="00734992" w:rsidP="0087575B">
            <w:pPr>
              <w:overflowPunct/>
              <w:textAlignment w:val="auto"/>
              <w:rPr>
                <w:rFonts w:ascii="Garamond" w:hAnsi="Garamond" w:cs="Garamond"/>
                <w:szCs w:val="22"/>
              </w:rPr>
            </w:pPr>
            <w:r>
              <w:rPr>
                <w:rFonts w:ascii="Garamond" w:hAnsi="Garamond" w:cs="Garamond"/>
                <w:sz w:val="22"/>
                <w:szCs w:val="22"/>
              </w:rPr>
              <w:t>allo scarico di acque reflue domestiche, in corpi idrici superficiali, sul suolo e negli strati superficiali del sottosuolo, provenienti da agglomerati con numero di abitanti equivalenti pari o superiore a 50; allo scarico nella stessa falda delle acque</w:t>
            </w:r>
          </w:p>
          <w:p w:rsidR="00734992" w:rsidRPr="00C024A1" w:rsidRDefault="00734992" w:rsidP="0087575B">
            <w:pPr>
              <w:overflowPunct/>
              <w:textAlignment w:val="auto"/>
              <w:rPr>
                <w:b/>
                <w:u w:val="single"/>
              </w:rPr>
            </w:pPr>
            <w:r>
              <w:rPr>
                <w:rFonts w:ascii="Garamond" w:hAnsi="Garamond" w:cs="Garamond"/>
                <w:sz w:val="22"/>
                <w:szCs w:val="22"/>
              </w:rPr>
              <w:t xml:space="preserve">di infiltrazione di miniere o cave o delle acque pompate nel corso di determinati lavori di ingegneria civile. Attività di controllo finalizzata alla tutela della qualità delle acque superficiali. </w:t>
            </w:r>
          </w:p>
        </w:tc>
      </w:tr>
      <w:tr w:rsidR="00734992" w:rsidRPr="00D3355E" w:rsidTr="0087575B">
        <w:tblPrEx>
          <w:jc w:val="left"/>
        </w:tblPrEx>
        <w:trPr>
          <w:gridAfter w:val="1"/>
          <w:wAfter w:w="39" w:type="dxa"/>
          <w:cantSplit/>
          <w:trHeight w:val="532"/>
        </w:trPr>
        <w:tc>
          <w:tcPr>
            <w:tcW w:w="3614" w:type="dxa"/>
          </w:tcPr>
          <w:p w:rsidR="00734992" w:rsidRDefault="00734992" w:rsidP="0087575B">
            <w:pPr>
              <w:jc w:val="center"/>
              <w:rPr>
                <w:rFonts w:ascii="Garamond" w:hAnsi="Garamond"/>
                <w:i/>
                <w:szCs w:val="24"/>
              </w:rPr>
            </w:pPr>
          </w:p>
          <w:p w:rsidR="00734992" w:rsidRPr="00C024A1" w:rsidRDefault="00734992" w:rsidP="0087575B">
            <w:pPr>
              <w:jc w:val="center"/>
              <w:rPr>
                <w:rFonts w:ascii="Garamond" w:hAnsi="Garamond"/>
                <w:i/>
                <w:szCs w:val="24"/>
              </w:rPr>
            </w:pPr>
            <w:r>
              <w:rPr>
                <w:rFonts w:ascii="Garamond" w:hAnsi="Garamond"/>
                <w:i/>
                <w:szCs w:val="24"/>
              </w:rPr>
              <w:t xml:space="preserve">Pubblica Istruzione </w:t>
            </w:r>
          </w:p>
          <w:p w:rsidR="00734992" w:rsidRPr="00C024A1" w:rsidRDefault="00734992" w:rsidP="0087575B">
            <w:pPr>
              <w:jc w:val="center"/>
              <w:rPr>
                <w:rFonts w:ascii="Garamond" w:hAnsi="Garamond"/>
                <w:i/>
                <w:szCs w:val="24"/>
              </w:rPr>
            </w:pPr>
          </w:p>
        </w:tc>
        <w:tc>
          <w:tcPr>
            <w:tcW w:w="10773" w:type="dxa"/>
          </w:tcPr>
          <w:p w:rsidR="00734992" w:rsidRDefault="00734992" w:rsidP="0087575B">
            <w:pPr>
              <w:rPr>
                <w:rFonts w:ascii="Garamond" w:hAnsi="Garamond"/>
                <w:szCs w:val="22"/>
              </w:rPr>
            </w:pPr>
            <w:r>
              <w:rPr>
                <w:rFonts w:ascii="Garamond" w:hAnsi="Garamond"/>
                <w:sz w:val="22"/>
                <w:szCs w:val="22"/>
              </w:rPr>
              <w:t xml:space="preserve">Programmazione in materia di istruzione secondaria (istituzione, aggregazione, fusione di istituti e/o plessi), iniziative per l’educazione permanente degli adulti. Trasporto scolastico diversamente abili ed assistenza all’istruzione scuole secondarie di </w:t>
            </w:r>
            <w:r w:rsidRPr="00527FBF">
              <w:rPr>
                <w:rFonts w:ascii="Garamond" w:hAnsi="Garamond"/>
                <w:sz w:val="22"/>
                <w:szCs w:val="22"/>
              </w:rPr>
              <w:t xml:space="preserve">secondo grado. </w:t>
            </w:r>
          </w:p>
        </w:tc>
      </w:tr>
      <w:tr w:rsidR="00734992" w:rsidRPr="00D3355E" w:rsidTr="0087575B">
        <w:tblPrEx>
          <w:jc w:val="left"/>
        </w:tblPrEx>
        <w:trPr>
          <w:gridAfter w:val="1"/>
          <w:wAfter w:w="39" w:type="dxa"/>
          <w:cantSplit/>
          <w:trHeight w:val="532"/>
        </w:trPr>
        <w:tc>
          <w:tcPr>
            <w:tcW w:w="3614" w:type="dxa"/>
          </w:tcPr>
          <w:p w:rsidR="00734992" w:rsidRDefault="00734992" w:rsidP="00F369D8">
            <w:pPr>
              <w:jc w:val="center"/>
              <w:rPr>
                <w:rFonts w:ascii="Garamond" w:hAnsi="Garamond"/>
                <w:i/>
                <w:szCs w:val="24"/>
              </w:rPr>
            </w:pPr>
          </w:p>
          <w:p w:rsidR="00734992" w:rsidRDefault="00734992" w:rsidP="00F369D8">
            <w:pPr>
              <w:jc w:val="center"/>
              <w:rPr>
                <w:rFonts w:ascii="Garamond" w:hAnsi="Garamond"/>
                <w:i/>
                <w:szCs w:val="24"/>
              </w:rPr>
            </w:pPr>
          </w:p>
          <w:p w:rsidR="00734992" w:rsidRDefault="00734992" w:rsidP="00F369D8">
            <w:pPr>
              <w:jc w:val="center"/>
              <w:rPr>
                <w:rFonts w:ascii="Garamond" w:hAnsi="Garamond"/>
                <w:i/>
                <w:szCs w:val="24"/>
              </w:rPr>
            </w:pPr>
          </w:p>
          <w:p w:rsidR="00734992" w:rsidRDefault="00734992" w:rsidP="00F369D8">
            <w:pPr>
              <w:jc w:val="center"/>
              <w:rPr>
                <w:rFonts w:ascii="Garamond" w:hAnsi="Garamond"/>
                <w:i/>
                <w:szCs w:val="24"/>
              </w:rPr>
            </w:pPr>
            <w:r>
              <w:rPr>
                <w:rFonts w:ascii="Garamond" w:hAnsi="Garamond"/>
                <w:i/>
                <w:szCs w:val="24"/>
              </w:rPr>
              <w:t>Servizio Pianificazione territoriale</w:t>
            </w:r>
          </w:p>
        </w:tc>
        <w:tc>
          <w:tcPr>
            <w:tcW w:w="10773" w:type="dxa"/>
          </w:tcPr>
          <w:p w:rsidR="00734992" w:rsidRDefault="00734992" w:rsidP="00F369D8">
            <w:pPr>
              <w:overflowPunct/>
              <w:autoSpaceDE/>
              <w:autoSpaceDN/>
              <w:adjustRightInd/>
              <w:textAlignment w:val="auto"/>
              <w:rPr>
                <w:rFonts w:ascii="Garamond" w:hAnsi="Garamond"/>
                <w:szCs w:val="22"/>
              </w:rPr>
            </w:pPr>
            <w:r>
              <w:rPr>
                <w:rFonts w:ascii="Garamond" w:hAnsi="Garamond"/>
                <w:sz w:val="22"/>
                <w:szCs w:val="22"/>
              </w:rPr>
              <w:t xml:space="preserve">Gestione ed aggiornamento del Piano Territoriale Provinciale Generale (P.T.P.G.). Formulazione di eventuali proposte di modifica di piani settoriali regionali e provinciali e pareri sulle opere, piani e programmi contenenti disposizioni di rilevanza territoriale. Conferenze di pianificazione sul Documento Preliminare di Indirizzi (D.P.I.) comunali, accordi di programma. Parere di conformità del P.U.G.C. rispetto al PTPG. Osservazioni sul P.U.O.C. di pianificazione attuativa. Pianificazione ed accordi di programma per varianti del P.U.G.C., di cui alle seguenti disposizioni normative: L. 142/90, L. 241/90, L.R. n. 22/97, nonché art. 143 del d.lgs. n. 163/2006, D.P.R. n. 447/98 modificato e integrato con D.P.R. 440/2000 in relazione agli interventi su fabbricati in insediamenti produttivi. Approvazione dei piani socio – economici  delle comunità montane ai sensi dell’art.30 della Legge n.9 del 22.06.1999. Promozione e coordinamento delle proposte degli Enti Locali ai sensi dell’art. 4 della L.R. n.14/99. Adempimenti di cui all’art. 94 della L.R. n. 14/99. </w:t>
            </w:r>
          </w:p>
        </w:tc>
      </w:tr>
    </w:tbl>
    <w:p w:rsidR="00734992" w:rsidRDefault="00734992" w:rsidP="00DA1796"/>
    <w:p w:rsidR="00734992" w:rsidRDefault="00734992"/>
    <w:sectPr w:rsidR="00734992" w:rsidSect="00C042F5">
      <w:footerReference w:type="even" r:id="rId6"/>
      <w:footerReference w:type="default" r:id="rId7"/>
      <w:pgSz w:w="16838" w:h="11906" w:orient="landscape" w:code="9"/>
      <w:pgMar w:top="426" w:right="1134" w:bottom="851" w:left="1418"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992" w:rsidRDefault="00734992" w:rsidP="002E6D88">
      <w:r>
        <w:separator/>
      </w:r>
    </w:p>
  </w:endnote>
  <w:endnote w:type="continuationSeparator" w:id="1">
    <w:p w:rsidR="00734992" w:rsidRDefault="00734992" w:rsidP="002E6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92" w:rsidRDefault="00734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992" w:rsidRDefault="007349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92" w:rsidRDefault="00734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4992" w:rsidRDefault="00734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992" w:rsidRDefault="00734992" w:rsidP="002E6D88">
      <w:r>
        <w:separator/>
      </w:r>
    </w:p>
  </w:footnote>
  <w:footnote w:type="continuationSeparator" w:id="1">
    <w:p w:rsidR="00734992" w:rsidRDefault="00734992" w:rsidP="002E6D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796"/>
    <w:rsid w:val="000D400A"/>
    <w:rsid w:val="002E6D88"/>
    <w:rsid w:val="00367684"/>
    <w:rsid w:val="003A788F"/>
    <w:rsid w:val="004B720D"/>
    <w:rsid w:val="004C46BB"/>
    <w:rsid w:val="00527FBF"/>
    <w:rsid w:val="00595434"/>
    <w:rsid w:val="00597C72"/>
    <w:rsid w:val="006B12EF"/>
    <w:rsid w:val="006C7264"/>
    <w:rsid w:val="00734992"/>
    <w:rsid w:val="00804305"/>
    <w:rsid w:val="0087575B"/>
    <w:rsid w:val="00895A80"/>
    <w:rsid w:val="009019DE"/>
    <w:rsid w:val="009F0C2E"/>
    <w:rsid w:val="00A66DF0"/>
    <w:rsid w:val="00B008A7"/>
    <w:rsid w:val="00C024A1"/>
    <w:rsid w:val="00C042F5"/>
    <w:rsid w:val="00C309CA"/>
    <w:rsid w:val="00CC278D"/>
    <w:rsid w:val="00CE7DEB"/>
    <w:rsid w:val="00D3355E"/>
    <w:rsid w:val="00DA1796"/>
    <w:rsid w:val="00DA68B2"/>
    <w:rsid w:val="00EA04FB"/>
    <w:rsid w:val="00F06B7B"/>
    <w:rsid w:val="00F22500"/>
    <w:rsid w:val="00F369D8"/>
    <w:rsid w:val="00F456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96"/>
    <w:pPr>
      <w:overflowPunct w:val="0"/>
      <w:autoSpaceDE w:val="0"/>
      <w:autoSpaceDN w:val="0"/>
      <w:adjustRightInd w:val="0"/>
      <w:textAlignment w:val="baseline"/>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DA1796"/>
    <w:pPr>
      <w:jc w:val="center"/>
    </w:pPr>
    <w:rPr>
      <w:b/>
      <w:bCs/>
    </w:rPr>
  </w:style>
  <w:style w:type="character" w:customStyle="1" w:styleId="SubtitleChar">
    <w:name w:val="Subtitle Char"/>
    <w:basedOn w:val="DefaultParagraphFont"/>
    <w:link w:val="Subtitle"/>
    <w:uiPriority w:val="99"/>
    <w:locked/>
    <w:rsid w:val="00DA1796"/>
    <w:rPr>
      <w:rFonts w:ascii="Times New Roman" w:hAnsi="Times New Roman" w:cs="Times New Roman"/>
      <w:b/>
      <w:bCs/>
      <w:sz w:val="20"/>
      <w:szCs w:val="20"/>
      <w:lang w:eastAsia="it-IT"/>
    </w:rPr>
  </w:style>
  <w:style w:type="paragraph" w:styleId="Footer">
    <w:name w:val="footer"/>
    <w:basedOn w:val="Normal"/>
    <w:link w:val="FooterChar"/>
    <w:uiPriority w:val="99"/>
    <w:semiHidden/>
    <w:rsid w:val="00DA1796"/>
    <w:pPr>
      <w:tabs>
        <w:tab w:val="center" w:pos="4819"/>
        <w:tab w:val="right" w:pos="9638"/>
      </w:tabs>
    </w:pPr>
  </w:style>
  <w:style w:type="character" w:customStyle="1" w:styleId="FooterChar">
    <w:name w:val="Footer Char"/>
    <w:basedOn w:val="DefaultParagraphFont"/>
    <w:link w:val="Footer"/>
    <w:uiPriority w:val="99"/>
    <w:semiHidden/>
    <w:locked/>
    <w:rsid w:val="00DA1796"/>
    <w:rPr>
      <w:rFonts w:ascii="Times New Roman" w:hAnsi="Times New Roman" w:cs="Times New Roman"/>
      <w:sz w:val="20"/>
      <w:szCs w:val="20"/>
      <w:lang w:eastAsia="it-IT"/>
    </w:rPr>
  </w:style>
  <w:style w:type="character" w:styleId="PageNumber">
    <w:name w:val="page number"/>
    <w:basedOn w:val="DefaultParagraphFont"/>
    <w:uiPriority w:val="99"/>
    <w:semiHidden/>
    <w:rsid w:val="00DA179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950</Words>
  <Characters>5419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UNITA’ DI PROGETTO</dc:title>
  <dc:subject/>
  <dc:creator>Sbardella</dc:creator>
  <cp:keywords/>
  <dc:description/>
  <cp:lastModifiedBy>Petrozzi</cp:lastModifiedBy>
  <cp:revision>2</cp:revision>
  <dcterms:created xsi:type="dcterms:W3CDTF">2016-03-18T11:36:00Z</dcterms:created>
  <dcterms:modified xsi:type="dcterms:W3CDTF">2016-03-18T11:36:00Z</dcterms:modified>
</cp:coreProperties>
</file>