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E2" w:rsidRDefault="00DC2BA5">
      <w:pPr>
        <w:pStyle w:val="Corpotesto"/>
        <w:spacing w:before="113"/>
        <w:ind w:left="648"/>
      </w:pPr>
      <w:r>
        <w:rPr>
          <w:w w:val="105"/>
        </w:rPr>
        <w:t>ALLEGATO.2</w:t>
      </w:r>
    </w:p>
    <w:p w:rsidR="00ED13E2" w:rsidRDefault="00ED13E2">
      <w:pPr>
        <w:pStyle w:val="Corpotesto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310"/>
        <w:gridCol w:w="907"/>
        <w:gridCol w:w="1272"/>
        <w:gridCol w:w="1886"/>
        <w:gridCol w:w="1682"/>
        <w:gridCol w:w="2502"/>
        <w:gridCol w:w="3127"/>
        <w:gridCol w:w="1468"/>
      </w:tblGrid>
      <w:tr w:rsidR="00ED13E2" w:rsidTr="00C372B6">
        <w:trPr>
          <w:trHeight w:val="328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13E2" w:rsidRDefault="00ED13E2">
            <w:pPr>
              <w:pStyle w:val="TableParagraph"/>
              <w:spacing w:before="6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ind w:left="3705" w:right="370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ELENCO REQUISITI DI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PARTECIPAZIONE</w:t>
            </w:r>
          </w:p>
        </w:tc>
      </w:tr>
      <w:tr w:rsidR="00ED13E2" w:rsidTr="00C372B6">
        <w:trPr>
          <w:trHeight w:val="473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13E2" w:rsidRDefault="00DC2BA5">
            <w:pPr>
              <w:pStyle w:val="TableParagraph"/>
              <w:spacing w:before="82" w:line="256" w:lineRule="auto"/>
              <w:ind w:left="3712" w:right="370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questa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tabella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devono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essere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riportati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requisiti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professionali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cui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all'art.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lett</w:t>
            </w:r>
            <w:proofErr w:type="spellEnd"/>
            <w:r>
              <w:rPr>
                <w:b/>
                <w:sz w:val="10"/>
              </w:rPr>
              <w:t>.</w:t>
            </w:r>
            <w:r>
              <w:rPr>
                <w:b/>
                <w:spacing w:val="-5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vvvv</w:t>
            </w:r>
            <w:proofErr w:type="spellEnd"/>
            <w:r>
              <w:rPr>
                <w:b/>
                <w:sz w:val="10"/>
              </w:rPr>
              <w:t>)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D.Lgs.</w:t>
            </w:r>
            <w:proofErr w:type="spell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50/2016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per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un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importo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globale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pari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1,5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volte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l'importo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stimato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dei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lavori calcolato con riguardo ad ognuna delle classi 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categorie</w:t>
            </w:r>
            <w:bookmarkStart w:id="0" w:name="_GoBack"/>
            <w:bookmarkEnd w:id="0"/>
          </w:p>
          <w:p w:rsidR="00ED13E2" w:rsidRDefault="00DC2BA5">
            <w:pPr>
              <w:pStyle w:val="TableParagraph"/>
              <w:spacing w:line="112" w:lineRule="exact"/>
              <w:ind w:left="3713" w:right="370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Questi requisiti, in caso di raggruppamenti o consorzi stabili tra professionisti, possono essere dimostrati cumulativamente dai componenti</w:t>
            </w:r>
          </w:p>
        </w:tc>
      </w:tr>
      <w:tr w:rsidR="00ED13E2" w:rsidTr="00C372B6">
        <w:trPr>
          <w:trHeight w:val="962"/>
        </w:trPr>
        <w:tc>
          <w:tcPr>
            <w:tcW w:w="506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75"/>
              <w:ind w:left="121" w:right="93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Progr</w:t>
            </w:r>
            <w:proofErr w:type="spellEnd"/>
            <w:r>
              <w:rPr>
                <w:sz w:val="1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75"/>
              <w:ind w:left="410"/>
              <w:rPr>
                <w:sz w:val="10"/>
              </w:rPr>
            </w:pPr>
            <w:r>
              <w:rPr>
                <w:sz w:val="10"/>
              </w:rPr>
              <w:t>Committente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spacing w:before="1" w:line="256" w:lineRule="auto"/>
              <w:ind w:left="185" w:firstLine="115"/>
              <w:rPr>
                <w:sz w:val="10"/>
              </w:rPr>
            </w:pPr>
            <w:r>
              <w:rPr>
                <w:sz w:val="10"/>
              </w:rPr>
              <w:t>Oggetto dell'intervento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spacing w:before="1" w:line="256" w:lineRule="auto"/>
              <w:ind w:left="156" w:hanging="3"/>
              <w:rPr>
                <w:sz w:val="10"/>
              </w:rPr>
            </w:pPr>
            <w:r>
              <w:rPr>
                <w:sz w:val="10"/>
              </w:rPr>
              <w:t>mese/anno e durata della prestazione professionale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72" w:line="256" w:lineRule="auto"/>
              <w:ind w:left="71"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Classe e Categoria delle opere oggetto di prestazione professionale</w:t>
            </w:r>
          </w:p>
          <w:p w:rsidR="00ED13E2" w:rsidRDefault="00A9095D">
            <w:pPr>
              <w:pStyle w:val="TableParagraph"/>
              <w:spacing w:line="112" w:lineRule="exact"/>
              <w:ind w:left="71" w:right="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spacing w:line="256" w:lineRule="auto"/>
              <w:ind w:left="25" w:right="9" w:firstLine="3"/>
              <w:jc w:val="center"/>
              <w:rPr>
                <w:sz w:val="10"/>
              </w:rPr>
            </w:pPr>
            <w:r>
              <w:rPr>
                <w:b/>
                <w:sz w:val="10"/>
              </w:rPr>
              <w:t>Classe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Categoria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delle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opere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oggetto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di prestazione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professionale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b/>
                <w:sz w:val="10"/>
              </w:rPr>
              <w:t>equivalenti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o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z w:val="10"/>
              </w:rPr>
              <w:t>di grado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di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complessità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superiore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quelle indicate nel bando di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gara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8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spacing w:before="1" w:line="256" w:lineRule="auto"/>
              <w:ind w:left="571" w:hanging="444"/>
              <w:rPr>
                <w:sz w:val="10"/>
              </w:rPr>
            </w:pPr>
            <w:r>
              <w:rPr>
                <w:b/>
                <w:sz w:val="10"/>
              </w:rPr>
              <w:t xml:space="preserve">Importo delle </w:t>
            </w:r>
            <w:r>
              <w:rPr>
                <w:b/>
                <w:sz w:val="10"/>
                <w:u w:val="single"/>
              </w:rPr>
              <w:t>SINGOLE</w:t>
            </w:r>
            <w:r>
              <w:rPr>
                <w:b/>
                <w:sz w:val="10"/>
              </w:rPr>
              <w:t xml:space="preserve"> Classi e Categorie </w:t>
            </w:r>
            <w:r>
              <w:rPr>
                <w:sz w:val="10"/>
              </w:rPr>
              <w:t>delle opere oggetto di prestazione professionale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80"/>
              <w:ind w:left="1028"/>
              <w:rPr>
                <w:b/>
                <w:sz w:val="10"/>
              </w:rPr>
            </w:pPr>
            <w:r>
              <w:rPr>
                <w:b/>
                <w:sz w:val="10"/>
              </w:rPr>
              <w:t>Servizi professionali svolti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80"/>
              <w:ind w:left="230"/>
              <w:rPr>
                <w:b/>
                <w:sz w:val="10"/>
              </w:rPr>
            </w:pPr>
            <w:r>
              <w:rPr>
                <w:b/>
                <w:sz w:val="10"/>
              </w:rPr>
              <w:t>Professionista incaricato</w:t>
            </w: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DC2BA5">
            <w:pPr>
              <w:pStyle w:val="TableParagraph"/>
              <w:spacing w:before="79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6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6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D13E2" w:rsidRDefault="00ED13E2">
      <w:pPr>
        <w:rPr>
          <w:rFonts w:ascii="Times New Roman"/>
          <w:sz w:val="8"/>
        </w:rPr>
        <w:sectPr w:rsidR="00ED13E2">
          <w:type w:val="continuous"/>
          <w:pgSz w:w="16840" w:h="11910" w:orient="landscape"/>
          <w:pgMar w:top="1100" w:right="9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310"/>
        <w:gridCol w:w="907"/>
        <w:gridCol w:w="1272"/>
        <w:gridCol w:w="1886"/>
        <w:gridCol w:w="1682"/>
        <w:gridCol w:w="2502"/>
        <w:gridCol w:w="3127"/>
        <w:gridCol w:w="1468"/>
      </w:tblGrid>
      <w:tr w:rsidR="00ED13E2">
        <w:trPr>
          <w:trHeight w:val="318"/>
        </w:trPr>
        <w:tc>
          <w:tcPr>
            <w:tcW w:w="14660" w:type="dxa"/>
            <w:gridSpan w:val="9"/>
            <w:tcBorders>
              <w:top w:val="nil"/>
              <w:bottom w:val="nil"/>
              <w:right w:val="nil"/>
            </w:tcBorders>
            <w:shd w:val="clear" w:color="auto" w:fill="C0C0C0"/>
          </w:tcPr>
          <w:p w:rsidR="00ED13E2" w:rsidRDefault="00DC2BA5">
            <w:pPr>
              <w:pStyle w:val="TableParagraph"/>
              <w:spacing w:before="99"/>
              <w:ind w:left="3713" w:right="365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lastRenderedPageBreak/>
              <w:t>"SERVIZI DI PUNTA"</w:t>
            </w:r>
          </w:p>
        </w:tc>
      </w:tr>
      <w:tr w:rsidR="00ED13E2">
        <w:trPr>
          <w:trHeight w:val="473"/>
        </w:trPr>
        <w:tc>
          <w:tcPr>
            <w:tcW w:w="14660" w:type="dxa"/>
            <w:gridSpan w:val="9"/>
            <w:tcBorders>
              <w:top w:val="nil"/>
              <w:right w:val="nil"/>
            </w:tcBorders>
            <w:shd w:val="clear" w:color="auto" w:fill="C0C0C0"/>
          </w:tcPr>
          <w:p w:rsidR="00ED13E2" w:rsidRDefault="00DC2BA5">
            <w:pPr>
              <w:pStyle w:val="TableParagraph"/>
              <w:spacing w:before="72" w:line="256" w:lineRule="auto"/>
              <w:ind w:left="3713" w:right="369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questa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tabella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devono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essere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riportati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requisiti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professionali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cui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all'art.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lett</w:t>
            </w:r>
            <w:proofErr w:type="spellEnd"/>
            <w:r>
              <w:rPr>
                <w:b/>
                <w:sz w:val="10"/>
              </w:rPr>
              <w:t>.</w:t>
            </w:r>
            <w:r>
              <w:rPr>
                <w:b/>
                <w:spacing w:val="-5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vvvv</w:t>
            </w:r>
            <w:proofErr w:type="spellEnd"/>
            <w:r>
              <w:rPr>
                <w:b/>
                <w:sz w:val="10"/>
              </w:rPr>
              <w:t>)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del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D.Lgs.</w:t>
            </w:r>
            <w:proofErr w:type="spell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50/2016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per </w:t>
            </w:r>
            <w:r>
              <w:rPr>
                <w:b/>
                <w:sz w:val="10"/>
                <w:u w:val="single"/>
              </w:rPr>
              <w:t>un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importo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globale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pari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a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0,5</w:t>
            </w:r>
            <w:r>
              <w:rPr>
                <w:b/>
                <w:spacing w:val="-7"/>
                <w:sz w:val="10"/>
                <w:u w:val="single"/>
              </w:rPr>
              <w:t xml:space="preserve"> </w:t>
            </w:r>
            <w:proofErr w:type="spellStart"/>
            <w:r>
              <w:rPr>
                <w:b/>
                <w:sz w:val="10"/>
                <w:u w:val="single"/>
              </w:rPr>
              <w:t>voltel'importo</w:t>
            </w:r>
            <w:proofErr w:type="spellEnd"/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stimato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dei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lavor</w:t>
            </w:r>
            <w:r>
              <w:rPr>
                <w:b/>
                <w:sz w:val="10"/>
              </w:rPr>
              <w:t>i calcolato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con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riguardo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ad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ognuna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delle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classi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categorie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  <w:u w:val="single"/>
              </w:rPr>
              <w:t>riferiti</w:t>
            </w:r>
            <w:r>
              <w:rPr>
                <w:b/>
                <w:spacing w:val="-4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a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tipologie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di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lavori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analoghi</w:t>
            </w:r>
            <w:r>
              <w:rPr>
                <w:b/>
                <w:spacing w:val="-4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per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dimensione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e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caratteristiche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tecniche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a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quelli</w:t>
            </w:r>
            <w:r>
              <w:rPr>
                <w:b/>
                <w:spacing w:val="-4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oggetto</w:t>
            </w:r>
            <w:r>
              <w:rPr>
                <w:b/>
                <w:spacing w:val="-6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di</w:t>
            </w:r>
            <w:r>
              <w:rPr>
                <w:b/>
                <w:spacing w:val="-5"/>
                <w:sz w:val="10"/>
                <w:u w:val="single"/>
              </w:rPr>
              <w:t xml:space="preserve"> </w:t>
            </w:r>
            <w:r>
              <w:rPr>
                <w:b/>
                <w:sz w:val="10"/>
                <w:u w:val="single"/>
              </w:rPr>
              <w:t>affidamento</w:t>
            </w:r>
          </w:p>
          <w:p w:rsidR="00ED13E2" w:rsidRDefault="00DC2BA5">
            <w:pPr>
              <w:pStyle w:val="TableParagraph"/>
              <w:spacing w:line="112" w:lineRule="exact"/>
              <w:ind w:left="3416" w:right="341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Questi requisiti, in caso di raggruppamenti o consorzi stabili, </w:t>
            </w:r>
            <w:r>
              <w:rPr>
                <w:b/>
                <w:sz w:val="10"/>
                <w:u w:val="single"/>
              </w:rPr>
              <w:t>NON sono frazionabili fra i componenti del raggruppamento e debbono essere posseduti dal mandatario o dalle mandant</w:t>
            </w:r>
            <w:r>
              <w:rPr>
                <w:b/>
                <w:sz w:val="10"/>
              </w:rPr>
              <w:t>i</w:t>
            </w:r>
          </w:p>
        </w:tc>
      </w:tr>
      <w:tr w:rsidR="00ED13E2">
        <w:trPr>
          <w:trHeight w:val="1080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2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ind w:left="121" w:right="93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Progr</w:t>
            </w:r>
            <w:proofErr w:type="spellEnd"/>
            <w:r>
              <w:rPr>
                <w:sz w:val="10"/>
              </w:rPr>
              <w:t>.</w:t>
            </w: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2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ind w:left="410"/>
              <w:rPr>
                <w:sz w:val="10"/>
              </w:rPr>
            </w:pPr>
            <w:r>
              <w:rPr>
                <w:sz w:val="10"/>
              </w:rPr>
              <w:t>Committente</w:t>
            </w: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71" w:line="256" w:lineRule="auto"/>
              <w:ind w:left="185" w:firstLine="115"/>
              <w:rPr>
                <w:sz w:val="10"/>
              </w:rPr>
            </w:pPr>
            <w:r>
              <w:rPr>
                <w:sz w:val="10"/>
              </w:rPr>
              <w:t>Oggetto dell'intervento</w:t>
            </w: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71" w:line="256" w:lineRule="auto"/>
              <w:ind w:left="156" w:hanging="3"/>
              <w:rPr>
                <w:sz w:val="10"/>
              </w:rPr>
            </w:pPr>
            <w:r>
              <w:rPr>
                <w:sz w:val="10"/>
              </w:rPr>
              <w:t>mese/anno e durata della prestazione professionale</w:t>
            </w: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1" w:line="256" w:lineRule="auto"/>
              <w:ind w:left="71" w:right="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Classe e Categoria delle opere oggetto di prestazione professionale</w:t>
            </w:r>
          </w:p>
          <w:p w:rsidR="00ED13E2" w:rsidRDefault="00DC2BA5">
            <w:pPr>
              <w:pStyle w:val="TableParagraph"/>
              <w:spacing w:line="112" w:lineRule="exact"/>
              <w:ind w:left="71" w:right="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(S.04 )</w:t>
            </w: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63" w:line="256" w:lineRule="auto"/>
              <w:ind w:left="25" w:right="9" w:firstLine="12"/>
              <w:jc w:val="both"/>
              <w:rPr>
                <w:sz w:val="10"/>
              </w:rPr>
            </w:pPr>
            <w:r>
              <w:rPr>
                <w:b/>
                <w:sz w:val="10"/>
              </w:rPr>
              <w:t>Classe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e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Categoria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delle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opere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oggetto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di prestazione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professionale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equivalenti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>o</w:t>
            </w:r>
            <w:r>
              <w:rPr>
                <w:b/>
                <w:spacing w:val="-8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di grado di complessità superiore </w:t>
            </w:r>
            <w:r>
              <w:rPr>
                <w:sz w:val="10"/>
              </w:rPr>
              <w:t>a quelle indicate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nella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manifestazione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interesse</w:t>
            </w: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DC2BA5">
            <w:pPr>
              <w:pStyle w:val="TableParagraph"/>
              <w:spacing w:before="71" w:line="256" w:lineRule="auto"/>
              <w:ind w:left="571" w:hanging="444"/>
              <w:rPr>
                <w:sz w:val="10"/>
              </w:rPr>
            </w:pPr>
            <w:r>
              <w:rPr>
                <w:b/>
                <w:sz w:val="10"/>
              </w:rPr>
              <w:t xml:space="preserve">Importo delle </w:t>
            </w:r>
            <w:r>
              <w:rPr>
                <w:b/>
                <w:sz w:val="10"/>
                <w:u w:val="single"/>
              </w:rPr>
              <w:t>SINGOLE</w:t>
            </w:r>
            <w:r>
              <w:rPr>
                <w:b/>
                <w:sz w:val="10"/>
              </w:rPr>
              <w:t xml:space="preserve"> Classi e Categorie </w:t>
            </w:r>
            <w:r>
              <w:rPr>
                <w:sz w:val="10"/>
              </w:rPr>
              <w:t>delle opere oggetto di prestazione professionale</w:t>
            </w: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ind w:left="1028"/>
              <w:rPr>
                <w:b/>
                <w:sz w:val="10"/>
              </w:rPr>
            </w:pPr>
            <w:r>
              <w:rPr>
                <w:b/>
                <w:sz w:val="10"/>
              </w:rPr>
              <w:t>Servizi professionali svolti</w:t>
            </w: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rPr>
                <w:b/>
                <w:sz w:val="10"/>
              </w:rPr>
            </w:pPr>
          </w:p>
          <w:p w:rsidR="00ED13E2" w:rsidRDefault="00ED13E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ED13E2" w:rsidRDefault="00DC2BA5">
            <w:pPr>
              <w:pStyle w:val="TableParagraph"/>
              <w:ind w:left="230"/>
              <w:rPr>
                <w:b/>
                <w:sz w:val="10"/>
              </w:rPr>
            </w:pPr>
            <w:r>
              <w:rPr>
                <w:b/>
                <w:sz w:val="10"/>
              </w:rPr>
              <w:t>Professionista incaricato</w:t>
            </w: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DC2BA5">
            <w:pPr>
              <w:pStyle w:val="TableParagraph"/>
              <w:spacing w:before="69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6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13E2">
        <w:trPr>
          <w:trHeight w:val="275"/>
        </w:trPr>
        <w:tc>
          <w:tcPr>
            <w:tcW w:w="50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0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6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2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7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68" w:type="dxa"/>
          </w:tcPr>
          <w:p w:rsidR="00ED13E2" w:rsidRDefault="00ED13E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DC2BA5" w:rsidRDefault="00DC2BA5"/>
    <w:sectPr w:rsidR="00DC2BA5">
      <w:pgSz w:w="16840" w:h="11910" w:orient="landscape"/>
      <w:pgMar w:top="11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E2"/>
    <w:rsid w:val="00481644"/>
    <w:rsid w:val="0052018D"/>
    <w:rsid w:val="00A9095D"/>
    <w:rsid w:val="00C372B6"/>
    <w:rsid w:val="00DC2BA5"/>
    <w:rsid w:val="00E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3ABA-A08C-46ED-8247-8E34569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 Menichetti</dc:creator>
  <cp:lastModifiedBy>Asus</cp:lastModifiedBy>
  <cp:revision>4</cp:revision>
  <dcterms:created xsi:type="dcterms:W3CDTF">2020-05-25T14:45:00Z</dcterms:created>
  <dcterms:modified xsi:type="dcterms:W3CDTF">2020-07-22T10:12:00Z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2020-02-05T00:00:00Z</vt:filetime>
  </property>
</Properties>
</file>