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C2" w:rsidRDefault="007134C2" w:rsidP="007134C2">
      <w:pPr>
        <w:spacing w:before="161" w:after="161" w:line="240" w:lineRule="auto"/>
        <w:outlineLvl w:val="0"/>
        <w:rPr>
          <w:rFonts w:ascii="Titillium Web" w:eastAsia="Times New Roman" w:hAnsi="Titillium Web" w:cs="Segoe UI"/>
          <w:b/>
          <w:bCs/>
          <w:color w:val="1C2024"/>
          <w:kern w:val="36"/>
          <w:sz w:val="30"/>
          <w:szCs w:val="30"/>
          <w:lang w:eastAsia="it-IT"/>
        </w:rPr>
      </w:pPr>
      <w:r w:rsidRPr="007134C2">
        <w:rPr>
          <w:rFonts w:ascii="Titillium Web" w:eastAsia="Times New Roman" w:hAnsi="Titillium Web" w:cs="Segoe UI"/>
          <w:b/>
          <w:bCs/>
          <w:color w:val="1C2024"/>
          <w:kern w:val="36"/>
          <w:sz w:val="30"/>
          <w:szCs w:val="30"/>
          <w:lang w:eastAsia="it-IT"/>
        </w:rPr>
        <w:t xml:space="preserve">SOSPENSIONE TEMPORANEA SERVIZIO PEC </w:t>
      </w:r>
    </w:p>
    <w:p w:rsidR="007134C2" w:rsidRPr="007134C2" w:rsidRDefault="007134C2" w:rsidP="007134C2">
      <w:pPr>
        <w:spacing w:before="161" w:after="161" w:line="240" w:lineRule="auto"/>
        <w:outlineLvl w:val="0"/>
        <w:rPr>
          <w:rFonts w:ascii="Titillium Web" w:eastAsia="Times New Roman" w:hAnsi="Titillium Web" w:cs="Segoe UI"/>
          <w:b/>
          <w:bCs/>
          <w:color w:val="1C2024"/>
          <w:kern w:val="36"/>
          <w:sz w:val="30"/>
          <w:szCs w:val="30"/>
          <w:lang w:eastAsia="it-IT"/>
        </w:rPr>
      </w:pPr>
    </w:p>
    <w:p w:rsidR="007134C2" w:rsidRPr="007134C2" w:rsidRDefault="007134C2" w:rsidP="007134C2">
      <w:pPr>
        <w:spacing w:after="0" w:line="240" w:lineRule="auto"/>
        <w:rPr>
          <w:rFonts w:ascii="Titillium Web" w:eastAsia="Times New Roman" w:hAnsi="Titillium Web" w:cs="Segoe UI"/>
          <w:color w:val="1C2024"/>
          <w:sz w:val="15"/>
          <w:szCs w:val="15"/>
          <w:lang w:eastAsia="it-IT"/>
        </w:rPr>
      </w:pPr>
      <w:bookmarkStart w:id="0" w:name="_GoBack"/>
      <w:r w:rsidRPr="007134C2">
        <w:rPr>
          <w:rFonts w:ascii="Titillium Web" w:eastAsia="Times New Roman" w:hAnsi="Titillium Web" w:cs="Segoe UI"/>
          <w:noProof/>
          <w:color w:val="1C2024"/>
          <w:sz w:val="15"/>
          <w:szCs w:val="15"/>
          <w:lang w:eastAsia="it-IT"/>
        </w:rPr>
        <w:drawing>
          <wp:inline distT="0" distB="0" distL="0" distR="0" wp14:anchorId="22E4F831" wp14:editId="1F9AD0FC">
            <wp:extent cx="2466975" cy="2009775"/>
            <wp:effectExtent l="0" t="0" r="9525" b="9525"/>
            <wp:docPr id="1" name="Immagin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</w:pPr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 xml:space="preserve">28/05/2020 </w:t>
      </w:r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b/>
          <w:color w:val="1C2024"/>
          <w:sz w:val="24"/>
          <w:szCs w:val="24"/>
          <w:lang w:eastAsia="it-IT"/>
        </w:rPr>
      </w:pPr>
      <w:r w:rsidRPr="007134C2">
        <w:rPr>
          <w:rFonts w:ascii="Titillium Web" w:eastAsia="Times New Roman" w:hAnsi="Titillium Web" w:cs="Segoe UI"/>
          <w:b/>
          <w:i/>
          <w:iCs/>
          <w:color w:val="1C2024"/>
          <w:sz w:val="24"/>
          <w:szCs w:val="24"/>
          <w:lang w:eastAsia="it-IT"/>
        </w:rPr>
        <w:t xml:space="preserve">Migrazione gestore casella di Posta Elettronica Certificata </w:t>
      </w:r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</w:pPr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 xml:space="preserve">Informiamo che la casella </w:t>
      </w:r>
      <w:proofErr w:type="gramStart"/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>di  Posta</w:t>
      </w:r>
      <w:proofErr w:type="gramEnd"/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 xml:space="preserve"> Certificata </w:t>
      </w:r>
      <w:r w:rsidRPr="007134C2">
        <w:rPr>
          <w:rFonts w:ascii="Titillium Web" w:eastAsia="Times New Roman" w:hAnsi="Titillium Web" w:cs="Segoe UI"/>
          <w:b/>
          <w:bCs/>
          <w:color w:val="1C2024"/>
          <w:sz w:val="24"/>
          <w:szCs w:val="24"/>
          <w:lang w:eastAsia="it-IT"/>
        </w:rPr>
        <w:t>RIMARRA' INATTIVA</w:t>
      </w:r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</w:pPr>
      <w:r w:rsidRPr="007134C2">
        <w:rPr>
          <w:rFonts w:ascii="Titillium Web" w:eastAsia="Times New Roman" w:hAnsi="Titillium Web" w:cs="Segoe UI"/>
          <w:b/>
          <w:bCs/>
          <w:color w:val="1C2024"/>
          <w:sz w:val="24"/>
          <w:szCs w:val="24"/>
          <w:lang w:eastAsia="it-IT"/>
        </w:rPr>
        <w:t>nei giorni 29, 30 e 31 maggio 2020</w:t>
      </w:r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>, per le operazioni di migrazione al nuovo gestore. </w:t>
      </w:r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</w:pPr>
      <w:proofErr w:type="gramStart"/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>Rimane  comunque</w:t>
      </w:r>
      <w:proofErr w:type="gramEnd"/>
      <w:r w:rsidRPr="007134C2"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 xml:space="preserve"> attiva la casella di posta ordinaria</w:t>
      </w:r>
      <w:r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  <w:t xml:space="preserve"> dei vari Uffici.</w:t>
      </w:r>
    </w:p>
    <w:p w:rsidR="007134C2" w:rsidRPr="007134C2" w:rsidRDefault="007134C2" w:rsidP="007134C2">
      <w:pPr>
        <w:spacing w:before="100" w:beforeAutospacing="1" w:after="100" w:afterAutospacing="1" w:line="240" w:lineRule="auto"/>
        <w:rPr>
          <w:rFonts w:ascii="Titillium Web" w:eastAsia="Times New Roman" w:hAnsi="Titillium Web" w:cs="Segoe UI"/>
          <w:color w:val="1C2024"/>
          <w:sz w:val="24"/>
          <w:szCs w:val="24"/>
          <w:lang w:eastAsia="it-IT"/>
        </w:rPr>
      </w:pPr>
    </w:p>
    <w:p w:rsidR="009432DC" w:rsidRDefault="00A70FDC"/>
    <w:sectPr w:rsidR="00943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C2"/>
    <w:rsid w:val="00330D29"/>
    <w:rsid w:val="007134C2"/>
    <w:rsid w:val="00A70FDC"/>
    <w:rsid w:val="00B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3FB1-9D2A-4B2A-9395-AB90116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Faini</dc:creator>
  <cp:keywords/>
  <dc:description/>
  <cp:lastModifiedBy>Servizi Sociali</cp:lastModifiedBy>
  <cp:revision>2</cp:revision>
  <dcterms:created xsi:type="dcterms:W3CDTF">2020-05-28T07:00:00Z</dcterms:created>
  <dcterms:modified xsi:type="dcterms:W3CDTF">2020-05-28T07:00:00Z</dcterms:modified>
</cp:coreProperties>
</file>