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3B" w:rsidRPr="00931F3B" w:rsidRDefault="00BF4C18" w:rsidP="00BF4C18">
      <w:pPr>
        <w:spacing w:after="100" w:afterAutospacing="1" w:line="240" w:lineRule="auto"/>
        <w:jc w:val="both"/>
        <w:rPr>
          <w:rFonts w:ascii="Titillium Web" w:eastAsia="Times New Roman" w:hAnsi="Titillium Web" w:cs="Arial"/>
          <w:color w:val="19191A"/>
          <w:sz w:val="24"/>
          <w:szCs w:val="24"/>
          <w:lang w:eastAsia="it-IT"/>
        </w:rPr>
      </w:pPr>
      <w:r>
        <w:rPr>
          <w:rFonts w:ascii="Titillium Web" w:eastAsia="Times New Roman" w:hAnsi="Titillium Web" w:cs="Arial"/>
          <w:color w:val="19191A"/>
          <w:sz w:val="24"/>
          <w:szCs w:val="24"/>
          <w:lang w:eastAsia="it-IT"/>
        </w:rPr>
        <w:t xml:space="preserve">Con riferimento alla </w:t>
      </w:r>
      <w:r w:rsidR="00931F3B" w:rsidRPr="00931F3B">
        <w:rPr>
          <w:rFonts w:ascii="Titillium Web" w:eastAsia="Times New Roman" w:hAnsi="Titillium Web" w:cs="Arial"/>
          <w:color w:val="19191A"/>
          <w:sz w:val="24"/>
          <w:szCs w:val="24"/>
          <w:lang w:eastAsia="it-IT"/>
        </w:rPr>
        <w:t>nota trasmessa dall’ATS dell’</w:t>
      </w:r>
      <w:proofErr w:type="spellStart"/>
      <w:r w:rsidR="00931F3B" w:rsidRPr="00931F3B">
        <w:rPr>
          <w:rFonts w:ascii="Titillium Web" w:eastAsia="Times New Roman" w:hAnsi="Titillium Web" w:cs="Arial"/>
          <w:color w:val="19191A"/>
          <w:sz w:val="24"/>
          <w:szCs w:val="24"/>
          <w:lang w:eastAsia="it-IT"/>
        </w:rPr>
        <w:t>Insubria</w:t>
      </w:r>
      <w:proofErr w:type="spellEnd"/>
      <w:r w:rsidR="00931F3B" w:rsidRPr="00931F3B">
        <w:rPr>
          <w:rFonts w:ascii="Titillium Web" w:eastAsia="Times New Roman" w:hAnsi="Titillium Web" w:cs="Arial"/>
          <w:color w:val="19191A"/>
          <w:sz w:val="24"/>
          <w:szCs w:val="24"/>
          <w:lang w:eastAsia="it-IT"/>
        </w:rPr>
        <w:t xml:space="preserve"> (</w:t>
      </w:r>
      <w:proofErr w:type="spellStart"/>
      <w:r w:rsidR="00931F3B" w:rsidRPr="00931F3B">
        <w:rPr>
          <w:rFonts w:ascii="Titillium Web" w:eastAsia="Times New Roman" w:hAnsi="Titillium Web" w:cs="Arial"/>
          <w:color w:val="19191A"/>
          <w:sz w:val="24"/>
          <w:szCs w:val="24"/>
          <w:lang w:eastAsia="it-IT"/>
        </w:rPr>
        <w:t>Prot</w:t>
      </w:r>
      <w:proofErr w:type="spellEnd"/>
      <w:r w:rsidR="00931F3B" w:rsidRPr="00931F3B">
        <w:rPr>
          <w:rFonts w:ascii="Titillium Web" w:eastAsia="Times New Roman" w:hAnsi="Titillium Web" w:cs="Arial"/>
          <w:color w:val="19191A"/>
          <w:sz w:val="24"/>
          <w:szCs w:val="24"/>
          <w:lang w:eastAsia="it-IT"/>
        </w:rPr>
        <w:t xml:space="preserve"> n. DIPS-C.0040218) relativa alle “</w:t>
      </w:r>
      <w:r w:rsidR="00931F3B" w:rsidRPr="00931F3B">
        <w:rPr>
          <w:rFonts w:ascii="Titillium Web" w:eastAsia="Times New Roman" w:hAnsi="Titillium Web" w:cs="Arial"/>
          <w:i/>
          <w:iCs/>
          <w:color w:val="19191A"/>
          <w:sz w:val="24"/>
          <w:szCs w:val="24"/>
          <w:lang w:eastAsia="it-IT"/>
        </w:rPr>
        <w:t>Misure di lotta per il contenimento delle zanzare e delle zecche. Prevenzione degli eventuali focolai di malattie trasmesse da vettori.</w:t>
      </w:r>
      <w:r w:rsidR="00931F3B" w:rsidRPr="00931F3B">
        <w:rPr>
          <w:rFonts w:ascii="Titillium Web" w:eastAsia="Times New Roman" w:hAnsi="Titillium Web" w:cs="Arial"/>
          <w:color w:val="19191A"/>
          <w:sz w:val="24"/>
          <w:szCs w:val="24"/>
          <w:lang w:eastAsia="it-IT"/>
        </w:rPr>
        <w:t>”, nella quale viene indicata la necessità di attivare, anche per quest’anno, iniziative adeguate ad attuare misure efficaci  per il contenimento delle infestazioni da zanzare e altri insetti nocivi e/o molesti, che possono causare disagi e pericolo per la po</w:t>
      </w:r>
      <w:r>
        <w:rPr>
          <w:rFonts w:ascii="Titillium Web" w:eastAsia="Times New Roman" w:hAnsi="Titillium Web" w:cs="Arial"/>
          <w:color w:val="19191A"/>
          <w:sz w:val="24"/>
          <w:szCs w:val="24"/>
          <w:lang w:eastAsia="it-IT"/>
        </w:rPr>
        <w:t>polazione, ed il contrasto al</w:t>
      </w:r>
      <w:r w:rsidR="00931F3B" w:rsidRPr="00931F3B">
        <w:rPr>
          <w:rFonts w:ascii="Titillium Web" w:eastAsia="Times New Roman" w:hAnsi="Titillium Web" w:cs="Arial"/>
          <w:color w:val="19191A"/>
          <w:sz w:val="24"/>
          <w:szCs w:val="24"/>
          <w:lang w:eastAsia="it-IT"/>
        </w:rPr>
        <w:t xml:space="preserve"> fenomeno della presenza di zanzara tigre, quando si manifestino casi sospetti od accertati di </w:t>
      </w:r>
      <w:proofErr w:type="spellStart"/>
      <w:r w:rsidR="00931F3B" w:rsidRPr="00931F3B">
        <w:rPr>
          <w:rFonts w:ascii="Titillium Web" w:eastAsia="Times New Roman" w:hAnsi="Titillium Web" w:cs="Arial"/>
          <w:color w:val="19191A"/>
          <w:sz w:val="24"/>
          <w:szCs w:val="24"/>
          <w:lang w:eastAsia="it-IT"/>
        </w:rPr>
        <w:t>Chikungunya</w:t>
      </w:r>
      <w:proofErr w:type="spellEnd"/>
      <w:r w:rsidR="00931F3B" w:rsidRPr="00931F3B">
        <w:rPr>
          <w:rFonts w:ascii="Titillium Web" w:eastAsia="Times New Roman" w:hAnsi="Titillium Web" w:cs="Arial"/>
          <w:color w:val="19191A"/>
          <w:sz w:val="24"/>
          <w:szCs w:val="24"/>
          <w:lang w:eastAsia="it-IT"/>
        </w:rPr>
        <w:t xml:space="preserve"> o in situazioni di infestazioni localizzate di particolare consistenza</w:t>
      </w:r>
      <w:r>
        <w:rPr>
          <w:rFonts w:ascii="Titillium Web" w:eastAsia="Times New Roman" w:hAnsi="Titillium Web" w:cs="Arial"/>
          <w:color w:val="19191A"/>
          <w:sz w:val="24"/>
          <w:szCs w:val="24"/>
          <w:lang w:eastAsia="it-IT"/>
        </w:rPr>
        <w:t xml:space="preserve"> con associati rischi sanitari, si invitano:</w:t>
      </w:r>
    </w:p>
    <w:p w:rsidR="00931F3B" w:rsidRPr="00931F3B" w:rsidRDefault="00BF4C18" w:rsidP="00BF4C18">
      <w:pPr>
        <w:spacing w:before="100" w:beforeAutospacing="1" w:after="100" w:afterAutospacing="1" w:line="240" w:lineRule="auto"/>
        <w:jc w:val="both"/>
        <w:rPr>
          <w:rFonts w:ascii="Titillium Web" w:eastAsia="Times New Roman" w:hAnsi="Titillium Web" w:cs="Arial"/>
          <w:color w:val="19191A"/>
          <w:sz w:val="24"/>
          <w:szCs w:val="24"/>
          <w:lang w:eastAsia="it-IT"/>
        </w:rPr>
      </w:pPr>
      <w:r>
        <w:rPr>
          <w:rFonts w:ascii="Titillium Web" w:eastAsia="Times New Roman" w:hAnsi="Titillium Web" w:cs="Arial"/>
          <w:b/>
          <w:bCs/>
          <w:color w:val="19191A"/>
          <w:sz w:val="24"/>
          <w:szCs w:val="24"/>
          <w:lang w:eastAsia="it-IT"/>
        </w:rPr>
        <w:t>I</w:t>
      </w:r>
      <w:r w:rsidR="00931F3B" w:rsidRPr="00931F3B">
        <w:rPr>
          <w:rFonts w:ascii="Titillium Web" w:eastAsia="Times New Roman" w:hAnsi="Titillium Web" w:cs="Arial"/>
          <w:b/>
          <w:bCs/>
          <w:color w:val="19191A"/>
          <w:sz w:val="24"/>
          <w:szCs w:val="24"/>
          <w:lang w:eastAsia="it-IT"/>
        </w:rPr>
        <w:t xml:space="preserve"> soggetti gestori, responsabili o che comunque ne abbiano l’effettiva disponibilità di aree strutturate con sistemi di raccolta delle acque meteoriche (privati cittadini, amministratori condominiali, società che gestiscono le aree di centri commerciali, gestori di multisale cinematografiche, ecc.), di:</w:t>
      </w:r>
    </w:p>
    <w:p w:rsidR="00931F3B" w:rsidRPr="00931F3B" w:rsidRDefault="00931F3B" w:rsidP="00BF4C18">
      <w:pPr>
        <w:numPr>
          <w:ilvl w:val="1"/>
          <w:numId w:val="2"/>
        </w:numPr>
        <w:spacing w:before="100" w:beforeAutospacing="1" w:after="100" w:afterAutospacing="1" w:line="240" w:lineRule="auto"/>
        <w:ind w:left="1350"/>
        <w:jc w:val="both"/>
        <w:rPr>
          <w:rFonts w:ascii="Titillium Web" w:eastAsia="Times New Roman" w:hAnsi="Titillium Web" w:cs="Arial"/>
          <w:color w:val="19191A"/>
          <w:sz w:val="24"/>
          <w:szCs w:val="24"/>
          <w:lang w:eastAsia="it-IT"/>
        </w:rPr>
      </w:pPr>
      <w:r w:rsidRPr="00931F3B">
        <w:rPr>
          <w:rFonts w:ascii="Titillium Web" w:eastAsia="Times New Roman" w:hAnsi="Titillium Web" w:cs="Arial"/>
          <w:b/>
          <w:bCs/>
          <w:color w:val="19191A"/>
          <w:sz w:val="24"/>
          <w:szCs w:val="24"/>
          <w:lang w:eastAsia="it-IT"/>
        </w:rPr>
        <w:t xml:space="preserve">evitare </w:t>
      </w:r>
      <w:r w:rsidRPr="00931F3B">
        <w:rPr>
          <w:rFonts w:ascii="Titillium Web" w:eastAsia="Times New Roman" w:hAnsi="Titillium Web" w:cs="Arial"/>
          <w:color w:val="19191A"/>
          <w:sz w:val="24"/>
          <w:szCs w:val="24"/>
          <w:lang w:eastAsia="it-IT"/>
        </w:rPr>
        <w:t>l’abbandono definitivo o temporaneo negli spazi aperti pubblici e privati, compresi terrazzi, balconi e lastrici solari, di contenitori di qualsiasi natura e dimensione nei quali possa raccogliersi acqua piovana ed evitare qualsiasi raccolta d’acqua stagnante anche temporanea;</w:t>
      </w:r>
    </w:p>
    <w:p w:rsidR="00931F3B" w:rsidRPr="00931F3B" w:rsidRDefault="00931F3B" w:rsidP="00BF4C18">
      <w:pPr>
        <w:numPr>
          <w:ilvl w:val="1"/>
          <w:numId w:val="2"/>
        </w:numPr>
        <w:spacing w:before="100" w:beforeAutospacing="1" w:after="100" w:afterAutospacing="1" w:line="240" w:lineRule="auto"/>
        <w:ind w:left="1350"/>
        <w:jc w:val="both"/>
        <w:rPr>
          <w:rFonts w:ascii="Titillium Web" w:eastAsia="Times New Roman" w:hAnsi="Titillium Web" w:cs="Arial"/>
          <w:color w:val="19191A"/>
          <w:sz w:val="24"/>
          <w:szCs w:val="24"/>
          <w:lang w:eastAsia="it-IT"/>
        </w:rPr>
      </w:pPr>
      <w:r w:rsidRPr="00931F3B">
        <w:rPr>
          <w:rFonts w:ascii="Titillium Web" w:eastAsia="Times New Roman" w:hAnsi="Titillium Web" w:cs="Arial"/>
          <w:b/>
          <w:bCs/>
          <w:color w:val="19191A"/>
          <w:sz w:val="24"/>
          <w:szCs w:val="24"/>
          <w:lang w:eastAsia="it-IT"/>
        </w:rPr>
        <w:t xml:space="preserve">procedere, </w:t>
      </w:r>
      <w:r w:rsidRPr="00931F3B">
        <w:rPr>
          <w:rFonts w:ascii="Titillium Web" w:eastAsia="Times New Roman" w:hAnsi="Titillium Web" w:cs="Arial"/>
          <w:color w:val="19191A"/>
          <w:sz w:val="24"/>
          <w:szCs w:val="24"/>
          <w:lang w:eastAsia="it-IT"/>
        </w:rPr>
        <w:t>ove s</w:t>
      </w:r>
      <w:bookmarkStart w:id="0" w:name="_GoBack"/>
      <w:bookmarkEnd w:id="0"/>
      <w:r w:rsidRPr="00931F3B">
        <w:rPr>
          <w:rFonts w:ascii="Titillium Web" w:eastAsia="Times New Roman" w:hAnsi="Titillium Web" w:cs="Arial"/>
          <w:color w:val="19191A"/>
          <w:sz w:val="24"/>
          <w:szCs w:val="24"/>
          <w:lang w:eastAsia="it-IT"/>
        </w:rPr>
        <w:t xml:space="preserve">i tratti di contenitori non abbandonati bensì sotto il controllo di chi ne ha la proprietà o l’uso effettivo, allo svuotamento dell’eventuale acqua in essi contenuta e alla loro sistemazione in modo da evitare accumuli idrici a seguito di pioggia; diversamente, procedere alla loro chiusura mediante rete zanzariera o coperchio a tenuta o allo svuotamento giornaliero, con divieto di immissione dell’acqua nei tombini; non si applicano tali prescrizioni alle </w:t>
      </w:r>
      <w:proofErr w:type="spellStart"/>
      <w:r w:rsidRPr="00931F3B">
        <w:rPr>
          <w:rFonts w:ascii="Titillium Web" w:eastAsia="Times New Roman" w:hAnsi="Titillium Web" w:cs="Arial"/>
          <w:color w:val="19191A"/>
          <w:sz w:val="24"/>
          <w:szCs w:val="24"/>
          <w:lang w:eastAsia="it-IT"/>
        </w:rPr>
        <w:t>ovitrappole</w:t>
      </w:r>
      <w:proofErr w:type="spellEnd"/>
      <w:r w:rsidRPr="00931F3B">
        <w:rPr>
          <w:rFonts w:ascii="Titillium Web" w:eastAsia="Times New Roman" w:hAnsi="Titillium Web" w:cs="Arial"/>
          <w:color w:val="19191A"/>
          <w:sz w:val="24"/>
          <w:szCs w:val="24"/>
          <w:lang w:eastAsia="it-IT"/>
        </w:rPr>
        <w:t xml:space="preserve"> inserite nel sistema regionale di monitoraggio dell’infestazione;</w:t>
      </w:r>
    </w:p>
    <w:p w:rsidR="00931F3B" w:rsidRPr="00931F3B" w:rsidRDefault="00931F3B" w:rsidP="00BF4C18">
      <w:pPr>
        <w:numPr>
          <w:ilvl w:val="1"/>
          <w:numId w:val="2"/>
        </w:numPr>
        <w:spacing w:before="100" w:beforeAutospacing="1" w:after="100" w:afterAutospacing="1" w:line="240" w:lineRule="auto"/>
        <w:ind w:left="1350"/>
        <w:jc w:val="both"/>
        <w:rPr>
          <w:rFonts w:ascii="Titillium Web" w:eastAsia="Times New Roman" w:hAnsi="Titillium Web" w:cs="Arial"/>
          <w:color w:val="19191A"/>
          <w:sz w:val="24"/>
          <w:szCs w:val="24"/>
          <w:lang w:eastAsia="it-IT"/>
        </w:rPr>
      </w:pPr>
      <w:r w:rsidRPr="00931F3B">
        <w:rPr>
          <w:rFonts w:ascii="Titillium Web" w:eastAsia="Times New Roman" w:hAnsi="Titillium Web" w:cs="Arial"/>
          <w:b/>
          <w:bCs/>
          <w:color w:val="19191A"/>
          <w:sz w:val="24"/>
          <w:szCs w:val="24"/>
          <w:lang w:eastAsia="it-IT"/>
        </w:rPr>
        <w:t xml:space="preserve">tenere sgombri </w:t>
      </w:r>
      <w:r w:rsidRPr="00931F3B">
        <w:rPr>
          <w:rFonts w:ascii="Titillium Web" w:eastAsia="Times New Roman" w:hAnsi="Titillium Web" w:cs="Arial"/>
          <w:color w:val="19191A"/>
          <w:sz w:val="24"/>
          <w:szCs w:val="24"/>
          <w:lang w:eastAsia="it-IT"/>
        </w:rPr>
        <w:t>i cortili e le aree aperte da erbacce, sterpi e rifiuti di ogni genere, in modo da impedire lo scarico di immondizie e di altri rifiuti e sistemandoli inoltre in modo da evitare il ristagno delle acque meteoriche o di qualsiasi altra provenienza;</w:t>
      </w:r>
    </w:p>
    <w:p w:rsidR="00931F3B" w:rsidRPr="00931F3B" w:rsidRDefault="00931F3B" w:rsidP="00BF4C18">
      <w:pPr>
        <w:numPr>
          <w:ilvl w:val="1"/>
          <w:numId w:val="2"/>
        </w:numPr>
        <w:spacing w:before="100" w:beforeAutospacing="1" w:after="100" w:afterAutospacing="1" w:line="240" w:lineRule="auto"/>
        <w:ind w:left="1350"/>
        <w:jc w:val="both"/>
        <w:rPr>
          <w:rFonts w:ascii="Titillium Web" w:eastAsia="Times New Roman" w:hAnsi="Titillium Web" w:cs="Arial"/>
          <w:color w:val="19191A"/>
          <w:sz w:val="24"/>
          <w:szCs w:val="24"/>
          <w:lang w:eastAsia="it-IT"/>
        </w:rPr>
      </w:pPr>
      <w:r w:rsidRPr="00931F3B">
        <w:rPr>
          <w:rFonts w:ascii="Titillium Web" w:eastAsia="Times New Roman" w:hAnsi="Titillium Web" w:cs="Arial"/>
          <w:b/>
          <w:bCs/>
          <w:color w:val="19191A"/>
          <w:sz w:val="24"/>
          <w:szCs w:val="24"/>
          <w:lang w:eastAsia="it-IT"/>
        </w:rPr>
        <w:t xml:space="preserve">provvedere </w:t>
      </w:r>
      <w:r w:rsidRPr="00931F3B">
        <w:rPr>
          <w:rFonts w:ascii="Titillium Web" w:eastAsia="Times New Roman" w:hAnsi="Titillium Web" w:cs="Arial"/>
          <w:color w:val="19191A"/>
          <w:sz w:val="24"/>
          <w:szCs w:val="24"/>
          <w:lang w:eastAsia="it-IT"/>
        </w:rPr>
        <w:t>nei cortili e nei terreni scoperti dei centri abitati, e nelle aree ad essi confinanti incolte od improduttive, al taglio periodico dell’erba.</w:t>
      </w:r>
    </w:p>
    <w:p w:rsidR="00931F3B" w:rsidRPr="00931F3B" w:rsidRDefault="00931F3B" w:rsidP="00BF4C18">
      <w:pPr>
        <w:numPr>
          <w:ilvl w:val="0"/>
          <w:numId w:val="3"/>
        </w:numPr>
        <w:spacing w:before="100" w:beforeAutospacing="1" w:after="100" w:afterAutospacing="1" w:line="240" w:lineRule="auto"/>
        <w:ind w:left="630"/>
        <w:jc w:val="both"/>
        <w:rPr>
          <w:rFonts w:ascii="Titillium Web" w:eastAsia="Times New Roman" w:hAnsi="Titillium Web" w:cs="Arial"/>
          <w:color w:val="19191A"/>
          <w:sz w:val="24"/>
          <w:szCs w:val="24"/>
          <w:lang w:eastAsia="it-IT"/>
        </w:rPr>
      </w:pPr>
      <w:r w:rsidRPr="00931F3B">
        <w:rPr>
          <w:rFonts w:ascii="Titillium Web" w:eastAsia="Times New Roman" w:hAnsi="Titillium Web" w:cs="Arial"/>
          <w:b/>
          <w:bCs/>
          <w:color w:val="19191A"/>
          <w:sz w:val="24"/>
          <w:szCs w:val="24"/>
          <w:lang w:eastAsia="it-IT"/>
        </w:rPr>
        <w:t>Ai soggetti pubblici e privati gestori, responsabili o che comunque ne abbiano l’effettiva disponibilità di scarpate ferroviarie, scarpate e cigli stradali, corsi d’acqua, aree incolte e aree dimesse, di:</w:t>
      </w:r>
    </w:p>
    <w:p w:rsidR="00931F3B" w:rsidRPr="00931F3B" w:rsidRDefault="00931F3B" w:rsidP="00BF4C18">
      <w:pPr>
        <w:numPr>
          <w:ilvl w:val="1"/>
          <w:numId w:val="4"/>
        </w:numPr>
        <w:spacing w:before="100" w:beforeAutospacing="1" w:after="100" w:afterAutospacing="1" w:line="240" w:lineRule="auto"/>
        <w:ind w:left="1350"/>
        <w:jc w:val="both"/>
        <w:rPr>
          <w:rFonts w:ascii="Titillium Web" w:eastAsia="Times New Roman" w:hAnsi="Titillium Web" w:cs="Arial"/>
          <w:color w:val="19191A"/>
          <w:sz w:val="24"/>
          <w:szCs w:val="24"/>
          <w:lang w:eastAsia="it-IT"/>
        </w:rPr>
      </w:pPr>
      <w:r w:rsidRPr="00931F3B">
        <w:rPr>
          <w:rFonts w:ascii="Titillium Web" w:eastAsia="Times New Roman" w:hAnsi="Titillium Web" w:cs="Arial"/>
          <w:b/>
          <w:bCs/>
          <w:color w:val="19191A"/>
          <w:sz w:val="24"/>
          <w:szCs w:val="24"/>
          <w:lang w:eastAsia="it-IT"/>
        </w:rPr>
        <w:t xml:space="preserve">mantenere </w:t>
      </w:r>
      <w:r w:rsidRPr="00931F3B">
        <w:rPr>
          <w:rFonts w:ascii="Titillium Web" w:eastAsia="Times New Roman" w:hAnsi="Titillium Web" w:cs="Arial"/>
          <w:color w:val="19191A"/>
          <w:sz w:val="24"/>
          <w:szCs w:val="24"/>
          <w:lang w:eastAsia="it-IT"/>
        </w:rPr>
        <w:t>le aree libere da sterpaglie, rifiuti o altri materiali che possano favorire il formarsi di raccolta d’acqua stagnanti.</w:t>
      </w:r>
    </w:p>
    <w:p w:rsidR="00931F3B" w:rsidRPr="00931F3B" w:rsidRDefault="00931F3B" w:rsidP="00BF4C18">
      <w:pPr>
        <w:numPr>
          <w:ilvl w:val="0"/>
          <w:numId w:val="5"/>
        </w:numPr>
        <w:spacing w:before="100" w:beforeAutospacing="1" w:after="100" w:afterAutospacing="1" w:line="240" w:lineRule="auto"/>
        <w:ind w:left="630"/>
        <w:jc w:val="both"/>
        <w:rPr>
          <w:rFonts w:ascii="Titillium Web" w:eastAsia="Times New Roman" w:hAnsi="Titillium Web" w:cs="Arial"/>
          <w:color w:val="19191A"/>
          <w:sz w:val="24"/>
          <w:szCs w:val="24"/>
          <w:lang w:eastAsia="it-IT"/>
        </w:rPr>
      </w:pPr>
      <w:r w:rsidRPr="00931F3B">
        <w:rPr>
          <w:rFonts w:ascii="Titillium Web" w:eastAsia="Times New Roman" w:hAnsi="Titillium Web" w:cs="Arial"/>
          <w:b/>
          <w:bCs/>
          <w:color w:val="19191A"/>
          <w:sz w:val="24"/>
          <w:szCs w:val="24"/>
          <w:lang w:eastAsia="it-IT"/>
        </w:rPr>
        <w:t>A tutti i conduttori di orti, di:</w:t>
      </w:r>
    </w:p>
    <w:p w:rsidR="00931F3B" w:rsidRPr="00931F3B" w:rsidRDefault="00931F3B" w:rsidP="00BF4C18">
      <w:pPr>
        <w:numPr>
          <w:ilvl w:val="1"/>
          <w:numId w:val="6"/>
        </w:numPr>
        <w:spacing w:before="100" w:beforeAutospacing="1" w:after="100" w:afterAutospacing="1" w:line="240" w:lineRule="auto"/>
        <w:ind w:left="1350"/>
        <w:jc w:val="both"/>
        <w:rPr>
          <w:rFonts w:ascii="Titillium Web" w:eastAsia="Times New Roman" w:hAnsi="Titillium Web" w:cs="Arial"/>
          <w:color w:val="19191A"/>
          <w:sz w:val="24"/>
          <w:szCs w:val="24"/>
          <w:lang w:eastAsia="it-IT"/>
        </w:rPr>
      </w:pPr>
      <w:r w:rsidRPr="00931F3B">
        <w:rPr>
          <w:rFonts w:ascii="Titillium Web" w:eastAsia="Times New Roman" w:hAnsi="Titillium Web" w:cs="Arial"/>
          <w:b/>
          <w:bCs/>
          <w:color w:val="19191A"/>
          <w:sz w:val="24"/>
          <w:szCs w:val="24"/>
          <w:lang w:eastAsia="it-IT"/>
        </w:rPr>
        <w:t xml:space="preserve">eseguire </w:t>
      </w:r>
      <w:r w:rsidRPr="00931F3B">
        <w:rPr>
          <w:rFonts w:ascii="Titillium Web" w:eastAsia="Times New Roman" w:hAnsi="Titillium Web" w:cs="Arial"/>
          <w:color w:val="19191A"/>
          <w:sz w:val="24"/>
          <w:szCs w:val="24"/>
          <w:lang w:eastAsia="it-IT"/>
        </w:rPr>
        <w:t>l’annaffiatura diretta, tramite pompa o con contenitore da riempire di volta in volta e da svuotare completamente dopo l’uso;</w:t>
      </w:r>
    </w:p>
    <w:p w:rsidR="00931F3B" w:rsidRPr="00931F3B" w:rsidRDefault="00931F3B" w:rsidP="00BF4C18">
      <w:pPr>
        <w:numPr>
          <w:ilvl w:val="1"/>
          <w:numId w:val="6"/>
        </w:numPr>
        <w:spacing w:before="100" w:beforeAutospacing="1" w:after="100" w:afterAutospacing="1" w:line="240" w:lineRule="auto"/>
        <w:ind w:left="1350"/>
        <w:jc w:val="both"/>
        <w:rPr>
          <w:rFonts w:ascii="Titillium Web" w:eastAsia="Times New Roman" w:hAnsi="Titillium Web" w:cs="Arial"/>
          <w:color w:val="19191A"/>
          <w:sz w:val="24"/>
          <w:szCs w:val="24"/>
          <w:lang w:eastAsia="it-IT"/>
        </w:rPr>
      </w:pPr>
      <w:r w:rsidRPr="00931F3B">
        <w:rPr>
          <w:rFonts w:ascii="Titillium Web" w:eastAsia="Times New Roman" w:hAnsi="Titillium Web" w:cs="Arial"/>
          <w:b/>
          <w:bCs/>
          <w:color w:val="19191A"/>
          <w:sz w:val="24"/>
          <w:szCs w:val="24"/>
          <w:lang w:eastAsia="it-IT"/>
        </w:rPr>
        <w:t xml:space="preserve">sistemare </w:t>
      </w:r>
      <w:r w:rsidRPr="00931F3B">
        <w:rPr>
          <w:rFonts w:ascii="Titillium Web" w:eastAsia="Times New Roman" w:hAnsi="Titillium Web" w:cs="Arial"/>
          <w:color w:val="19191A"/>
          <w:sz w:val="24"/>
          <w:szCs w:val="24"/>
          <w:lang w:eastAsia="it-IT"/>
        </w:rPr>
        <w:t>tutti i contenitori e altri materiali (es. teli di plastica) in modo da evitare la formazione di raccolte d’acqua in caso di pioggia;</w:t>
      </w:r>
    </w:p>
    <w:p w:rsidR="00931F3B" w:rsidRPr="00931F3B" w:rsidRDefault="00931F3B" w:rsidP="00BF4C18">
      <w:pPr>
        <w:numPr>
          <w:ilvl w:val="1"/>
          <w:numId w:val="6"/>
        </w:numPr>
        <w:spacing w:before="100" w:beforeAutospacing="1" w:after="100" w:afterAutospacing="1" w:line="240" w:lineRule="auto"/>
        <w:ind w:left="1350"/>
        <w:jc w:val="both"/>
        <w:rPr>
          <w:rFonts w:ascii="Titillium Web" w:eastAsia="Times New Roman" w:hAnsi="Titillium Web" w:cs="Arial"/>
          <w:color w:val="19191A"/>
          <w:sz w:val="24"/>
          <w:szCs w:val="24"/>
          <w:lang w:eastAsia="it-IT"/>
        </w:rPr>
      </w:pPr>
      <w:r w:rsidRPr="00931F3B">
        <w:rPr>
          <w:rFonts w:ascii="Titillium Web" w:eastAsia="Times New Roman" w:hAnsi="Titillium Web" w:cs="Arial"/>
          <w:b/>
          <w:bCs/>
          <w:color w:val="19191A"/>
          <w:sz w:val="24"/>
          <w:szCs w:val="24"/>
          <w:lang w:eastAsia="it-IT"/>
        </w:rPr>
        <w:t xml:space="preserve">chiudere </w:t>
      </w:r>
      <w:r w:rsidRPr="00931F3B">
        <w:rPr>
          <w:rFonts w:ascii="Titillium Web" w:eastAsia="Times New Roman" w:hAnsi="Titillium Web" w:cs="Arial"/>
          <w:color w:val="19191A"/>
          <w:sz w:val="24"/>
          <w:szCs w:val="24"/>
          <w:lang w:eastAsia="it-IT"/>
        </w:rPr>
        <w:t>appropriatamente e stabilmente con coperchi gli eventuali serbatoi d’acqua.</w:t>
      </w:r>
    </w:p>
    <w:sectPr w:rsidR="00931F3B" w:rsidRPr="00931F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illium We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410"/>
    <w:multiLevelType w:val="multilevel"/>
    <w:tmpl w:val="409AA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B134D"/>
    <w:multiLevelType w:val="multilevel"/>
    <w:tmpl w:val="5254C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32D7B"/>
    <w:multiLevelType w:val="multilevel"/>
    <w:tmpl w:val="1C72B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84D29"/>
    <w:multiLevelType w:val="multilevel"/>
    <w:tmpl w:val="D214D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E429AC"/>
    <w:multiLevelType w:val="multilevel"/>
    <w:tmpl w:val="C43A9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3B1CE9"/>
    <w:multiLevelType w:val="multilevel"/>
    <w:tmpl w:val="B942B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3B"/>
    <w:rsid w:val="000753AA"/>
    <w:rsid w:val="00156B54"/>
    <w:rsid w:val="00294742"/>
    <w:rsid w:val="008B3512"/>
    <w:rsid w:val="008D3911"/>
    <w:rsid w:val="00931F3B"/>
    <w:rsid w:val="00BF4C18"/>
    <w:rsid w:val="00CB50D2"/>
    <w:rsid w:val="00CD33FF"/>
    <w:rsid w:val="00CE3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21443">
      <w:bodyDiv w:val="1"/>
      <w:marLeft w:val="0"/>
      <w:marRight w:val="0"/>
      <w:marTop w:val="0"/>
      <w:marBottom w:val="0"/>
      <w:divBdr>
        <w:top w:val="none" w:sz="0" w:space="0" w:color="auto"/>
        <w:left w:val="none" w:sz="0" w:space="0" w:color="auto"/>
        <w:bottom w:val="none" w:sz="0" w:space="0" w:color="auto"/>
        <w:right w:val="none" w:sz="0" w:space="0" w:color="auto"/>
      </w:divBdr>
      <w:divsChild>
        <w:div w:id="1264268301">
          <w:marLeft w:val="0"/>
          <w:marRight w:val="0"/>
          <w:marTop w:val="0"/>
          <w:marBottom w:val="0"/>
          <w:divBdr>
            <w:top w:val="none" w:sz="0" w:space="0" w:color="auto"/>
            <w:left w:val="none" w:sz="0" w:space="0" w:color="auto"/>
            <w:bottom w:val="none" w:sz="0" w:space="0" w:color="auto"/>
            <w:right w:val="none" w:sz="0" w:space="0" w:color="auto"/>
          </w:divBdr>
          <w:divsChild>
            <w:div w:id="1058938253">
              <w:marLeft w:val="0"/>
              <w:marRight w:val="0"/>
              <w:marTop w:val="0"/>
              <w:marBottom w:val="0"/>
              <w:divBdr>
                <w:top w:val="none" w:sz="0" w:space="0" w:color="auto"/>
                <w:left w:val="none" w:sz="0" w:space="0" w:color="auto"/>
                <w:bottom w:val="none" w:sz="0" w:space="0" w:color="auto"/>
                <w:right w:val="none" w:sz="0" w:space="0" w:color="auto"/>
              </w:divBdr>
              <w:divsChild>
                <w:div w:id="1733043314">
                  <w:marLeft w:val="0"/>
                  <w:marRight w:val="0"/>
                  <w:marTop w:val="0"/>
                  <w:marBottom w:val="0"/>
                  <w:divBdr>
                    <w:top w:val="none" w:sz="0" w:space="0" w:color="auto"/>
                    <w:left w:val="none" w:sz="0" w:space="0" w:color="auto"/>
                    <w:bottom w:val="none" w:sz="0" w:space="0" w:color="auto"/>
                    <w:right w:val="none" w:sz="0" w:space="0" w:color="auto"/>
                  </w:divBdr>
                  <w:divsChild>
                    <w:div w:id="1467310456">
                      <w:marLeft w:val="-90"/>
                      <w:marRight w:val="-90"/>
                      <w:marTop w:val="0"/>
                      <w:marBottom w:val="0"/>
                      <w:divBdr>
                        <w:top w:val="none" w:sz="0" w:space="0" w:color="auto"/>
                        <w:left w:val="none" w:sz="0" w:space="0" w:color="auto"/>
                        <w:bottom w:val="none" w:sz="0" w:space="0" w:color="auto"/>
                        <w:right w:val="none" w:sz="0" w:space="0" w:color="auto"/>
                      </w:divBdr>
                      <w:divsChild>
                        <w:div w:id="19442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Tecnico2</dc:creator>
  <cp:lastModifiedBy>Tecnico2</cp:lastModifiedBy>
  <cp:revision>2</cp:revision>
  <dcterms:created xsi:type="dcterms:W3CDTF">2019-07-22T08:34:00Z</dcterms:created>
  <dcterms:modified xsi:type="dcterms:W3CDTF">2019-07-22T08:34:00Z</dcterms:modified>
</cp:coreProperties>
</file>